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C2F5" w14:textId="77777777" w:rsidR="00AD6E49" w:rsidRPr="001E4568" w:rsidRDefault="00AD6E49" w:rsidP="00AD6E49">
      <w:pPr>
        <w:spacing w:after="0" w:line="520" w:lineRule="exact"/>
        <w:jc w:val="center"/>
        <w:rPr>
          <w:rFonts w:ascii="Times New Roman" w:eastAsiaTheme="minorEastAsia" w:hAnsi="Times New Roman" w:cs="Times New Roman"/>
          <w:b/>
          <w:bCs/>
          <w:color w:val="00FFCC"/>
          <w:kern w:val="24"/>
          <w:position w:val="1"/>
          <w:sz w:val="56"/>
          <w:szCs w:val="56"/>
          <w:lang w:val="en-GB" w:eastAsia="pl-PL"/>
        </w:rPr>
      </w:pPr>
    </w:p>
    <w:p w14:paraId="7AA019FA" w14:textId="77777777" w:rsidR="00040F5F" w:rsidRPr="001E4568" w:rsidRDefault="00040F5F"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p>
    <w:p w14:paraId="6B117817" w14:textId="77777777" w:rsidR="00AD6E49" w:rsidRPr="001E4568" w:rsidRDefault="00AD6E49"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r w:rsidRPr="001E4568">
        <w:rPr>
          <w:rFonts w:ascii="Times New Roman" w:eastAsiaTheme="minorEastAsia" w:hAnsi="Times New Roman" w:cs="Times New Roman"/>
          <w:b/>
          <w:bCs/>
          <w:color w:val="8DD873" w:themeColor="accent6" w:themeTint="99"/>
          <w:kern w:val="24"/>
          <w:position w:val="1"/>
          <w:sz w:val="56"/>
          <w:szCs w:val="56"/>
          <w:lang w:val="de" w:eastAsia="pl-PL"/>
        </w:rPr>
        <w:t>Glossar</w:t>
      </w:r>
    </w:p>
    <w:p w14:paraId="1838F654" w14:textId="77777777" w:rsidR="00040F5F" w:rsidRPr="001E4568" w:rsidRDefault="00040F5F" w:rsidP="00040F5F">
      <w:pPr>
        <w:spacing w:after="0" w:line="520" w:lineRule="exact"/>
        <w:jc w:val="center"/>
        <w:rPr>
          <w:rFonts w:ascii="Times New Roman" w:eastAsia="Times New Roman" w:hAnsi="Times New Roman" w:cs="Times New Roman"/>
          <w:color w:val="8DD873" w:themeColor="accent6" w:themeTint="99"/>
          <w:sz w:val="24"/>
          <w:szCs w:val="24"/>
          <w:lang w:val="en-GB" w:eastAsia="pl-PL"/>
        </w:rPr>
      </w:pPr>
    </w:p>
    <w:tbl>
      <w:tblPr>
        <w:tblStyle w:val="TableGrid"/>
        <w:tblW w:w="97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94"/>
        <w:gridCol w:w="637"/>
        <w:gridCol w:w="5615"/>
        <w:gridCol w:w="616"/>
      </w:tblGrid>
      <w:tr w:rsidR="002A67F8" w:rsidRPr="001E4568" w14:paraId="54E40605" w14:textId="77777777" w:rsidTr="2C6C7817">
        <w:tc>
          <w:tcPr>
            <w:tcW w:w="2062" w:type="dxa"/>
          </w:tcPr>
          <w:p w14:paraId="5C4EC49D" w14:textId="77777777" w:rsidR="002A67F8" w:rsidRPr="001E4568" w:rsidRDefault="002A67F8" w:rsidP="002A67F8">
            <w:pPr>
              <w:jc w:val="center"/>
              <w:rPr>
                <w:rFonts w:ascii="Times New Roman" w:hAnsi="Times New Roman" w:cs="Times New Roman"/>
                <w:b/>
                <w:color w:val="3A7C22" w:themeColor="accent6" w:themeShade="BF"/>
                <w:lang w:val="en-GB"/>
              </w:rPr>
            </w:pPr>
          </w:p>
        </w:tc>
        <w:tc>
          <w:tcPr>
            <w:tcW w:w="1469" w:type="dxa"/>
          </w:tcPr>
          <w:p w14:paraId="54D99B8B" w14:textId="77777777" w:rsidR="002A67F8" w:rsidRPr="001E4568" w:rsidRDefault="002A67F8" w:rsidP="002A67F8">
            <w:pPr>
              <w:jc w:val="center"/>
              <w:rPr>
                <w:rFonts w:ascii="Times New Roman" w:hAnsi="Times New Roman" w:cs="Times New Roman"/>
                <w:lang w:val="en-GB"/>
              </w:rPr>
            </w:pPr>
          </w:p>
        </w:tc>
        <w:tc>
          <w:tcPr>
            <w:tcW w:w="5615" w:type="dxa"/>
          </w:tcPr>
          <w:p w14:paraId="3B30FB8A" w14:textId="77777777" w:rsidR="002A67F8" w:rsidRPr="001E4568" w:rsidRDefault="002A67F8" w:rsidP="002A67F8">
            <w:pPr>
              <w:jc w:val="center"/>
              <w:rPr>
                <w:rFonts w:ascii="Times New Roman" w:hAnsi="Times New Roman" w:cs="Times New Roman"/>
                <w:lang w:val="en-GB"/>
              </w:rPr>
            </w:pPr>
          </w:p>
        </w:tc>
        <w:tc>
          <w:tcPr>
            <w:tcW w:w="616" w:type="dxa"/>
          </w:tcPr>
          <w:p w14:paraId="612EA104" w14:textId="77777777" w:rsidR="002A67F8" w:rsidRPr="001E4568" w:rsidRDefault="002A67F8" w:rsidP="002A67F8">
            <w:pPr>
              <w:jc w:val="center"/>
              <w:rPr>
                <w:rFonts w:ascii="Times New Roman" w:hAnsi="Times New Roman" w:cs="Times New Roman"/>
                <w:lang w:val="en-GB"/>
              </w:rPr>
            </w:pPr>
          </w:p>
        </w:tc>
      </w:tr>
      <w:tr w:rsidR="001E4568" w:rsidRPr="001E4568" w14:paraId="07693A05" w14:textId="77777777" w:rsidTr="2C6C7817">
        <w:tc>
          <w:tcPr>
            <w:tcW w:w="2062" w:type="dxa"/>
          </w:tcPr>
          <w:p w14:paraId="2DB0E5F5"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Ackerland</w:t>
            </w:r>
          </w:p>
        </w:tc>
        <w:tc>
          <w:tcPr>
            <w:tcW w:w="1469" w:type="dxa"/>
          </w:tcPr>
          <w:p w14:paraId="7672BDF2" w14:textId="77777777" w:rsidR="001E4568" w:rsidRPr="001E4568" w:rsidRDefault="001E4568" w:rsidP="002A67F8">
            <w:pPr>
              <w:jc w:val="both"/>
              <w:rPr>
                <w:rFonts w:ascii="Times New Roman" w:hAnsi="Times New Roman" w:cs="Times New Roman"/>
                <w:lang w:val="en-GB"/>
              </w:rPr>
            </w:pPr>
          </w:p>
        </w:tc>
        <w:tc>
          <w:tcPr>
            <w:tcW w:w="5615" w:type="dxa"/>
          </w:tcPr>
          <w:p w14:paraId="2AEDD3DE"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Dabei handelt es sich um regelmäßig bearbeitete (gepflügte oder beackerte) Flächen, die im Allgemeinen in einer Fruchtfolge stehen. Ackerland bezeichnet die gesamte Fläche aus Äckern, Wiesen und Weiden, die für die landwirtschaftliche Produktion zur Verfügung steht, aber derzeit als Brachland genutzt wird.</w:t>
            </w:r>
          </w:p>
        </w:tc>
        <w:tc>
          <w:tcPr>
            <w:tcW w:w="616" w:type="dxa"/>
          </w:tcPr>
          <w:p w14:paraId="00E5B54F"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408D0C29" w14:textId="77777777" w:rsidTr="2C6C7817">
        <w:tc>
          <w:tcPr>
            <w:tcW w:w="2062" w:type="dxa"/>
          </w:tcPr>
          <w:p w14:paraId="6AE38CA2" w14:textId="77777777" w:rsidR="001E4568" w:rsidRPr="001E4568" w:rsidRDefault="001E4568" w:rsidP="4F734429">
            <w:pPr>
              <w:rPr>
                <w:rFonts w:ascii="Times New Roman" w:hAnsi="Times New Roman" w:cs="Times New Roman"/>
                <w:b/>
                <w:bCs/>
                <w:color w:val="3A7C22" w:themeColor="accent6" w:themeShade="BF"/>
                <w:lang w:val="en-GB"/>
              </w:rPr>
            </w:pPr>
            <w:r w:rsidRPr="001E4568">
              <w:rPr>
                <w:rFonts w:ascii="Times New Roman" w:hAnsi="Times New Roman" w:cs="Times New Roman"/>
                <w:b/>
                <w:bCs/>
                <w:color w:val="3A7C22" w:themeColor="accent6" w:themeShade="BF"/>
                <w:lang w:val="de"/>
              </w:rPr>
              <w:t>Adsorption</w:t>
            </w:r>
          </w:p>
        </w:tc>
        <w:tc>
          <w:tcPr>
            <w:tcW w:w="1469" w:type="dxa"/>
          </w:tcPr>
          <w:p w14:paraId="36971EBF" w14:textId="77777777" w:rsidR="001E4568" w:rsidRPr="001E4568" w:rsidRDefault="001E4568" w:rsidP="002A67F8">
            <w:pPr>
              <w:jc w:val="both"/>
              <w:rPr>
                <w:rFonts w:ascii="Times New Roman" w:hAnsi="Times New Roman" w:cs="Times New Roman"/>
                <w:lang w:val="en-GB"/>
              </w:rPr>
            </w:pPr>
          </w:p>
        </w:tc>
        <w:tc>
          <w:tcPr>
            <w:tcW w:w="5615" w:type="dxa"/>
          </w:tcPr>
          <w:p w14:paraId="5E83593B"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Prozess, bei dem Atome, Moleküle oder Ionen durch chemische oder physikalische Bindung an der Oberfläche von Festkörpern festgehalten werden. Die Absorption beruht hingegen auf der Aufnahme von Dämpfen, Gasen und undissoziierten Molekülen.</w:t>
            </w:r>
          </w:p>
        </w:tc>
        <w:tc>
          <w:tcPr>
            <w:tcW w:w="616" w:type="dxa"/>
          </w:tcPr>
          <w:p w14:paraId="70031016"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1DD4B0B0" w14:textId="77777777" w:rsidTr="2C6C7817">
        <w:tc>
          <w:tcPr>
            <w:tcW w:w="2062" w:type="dxa"/>
          </w:tcPr>
          <w:p w14:paraId="7E185795"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Agroforstwirtschaft</w:t>
            </w:r>
          </w:p>
        </w:tc>
        <w:tc>
          <w:tcPr>
            <w:tcW w:w="1469" w:type="dxa"/>
          </w:tcPr>
          <w:p w14:paraId="06E4F567" w14:textId="77777777" w:rsidR="001E4568" w:rsidRPr="001E4568" w:rsidRDefault="001E4568" w:rsidP="002A67F8">
            <w:pPr>
              <w:jc w:val="both"/>
              <w:rPr>
                <w:rFonts w:ascii="Times New Roman" w:hAnsi="Times New Roman" w:cs="Times New Roman"/>
                <w:lang w:val="en-GB"/>
              </w:rPr>
            </w:pPr>
          </w:p>
        </w:tc>
        <w:tc>
          <w:tcPr>
            <w:tcW w:w="5615" w:type="dxa"/>
          </w:tcPr>
          <w:p w14:paraId="18A73714"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Eine Art der Landnutzung, bei der auf einem Stück Land die Produktion aus einjährigen landwirtschaftlichen Tätigkeiten (z. B. Ackerbau und Weideland) und die langfristige Produktion durch Bäume (z. B. Nutzung von Holz) kombiniert wird. Dies geschieht entweder durch das Pflanzen von Bäumen auf landwirtschaftlichen Flächen oder durch den Anbau von Feldfrüchten (z. B. nach Durchforstung) auf bewaldeten Flächen. Flächen, auf denen Ackerzwischenfrüchte mit der Anpflanzung von Bäumen kombiniert werden, sind silvorable Flächen, während bewaldete Flächen mit Weideflächen unter dem Kronendach (Schirm) als silvopastorale Flächen bezeichnet werden.</w:t>
            </w:r>
          </w:p>
        </w:tc>
        <w:tc>
          <w:tcPr>
            <w:tcW w:w="616" w:type="dxa"/>
          </w:tcPr>
          <w:p w14:paraId="61F8B8C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07F45BB1" w14:textId="77777777" w:rsidTr="2C6C7817">
        <w:tc>
          <w:tcPr>
            <w:tcW w:w="2062" w:type="dxa"/>
          </w:tcPr>
          <w:p w14:paraId="038B0AFC" w14:textId="77777777" w:rsidR="001E4568" w:rsidRPr="001E4568" w:rsidRDefault="001E4568" w:rsidP="002A67F8">
            <w:pPr>
              <w:rPr>
                <w:rFonts w:ascii="Times New Roman" w:hAnsi="Times New Roman" w:cs="Times New Roman"/>
                <w:b/>
                <w:color w:val="3A7C22" w:themeColor="accent6" w:themeShade="BF"/>
                <w:lang w:val="de-DE"/>
              </w:rPr>
            </w:pPr>
            <w:r w:rsidRPr="001E4568">
              <w:rPr>
                <w:rFonts w:ascii="Times New Roman" w:hAnsi="Times New Roman" w:cs="Times New Roman"/>
                <w:b/>
                <w:color w:val="3A7C22" w:themeColor="accent6" w:themeShade="BF"/>
                <w:lang w:val="de"/>
              </w:rPr>
              <w:t>Akteure im Bereich Wissen und Bildung</w:t>
            </w:r>
          </w:p>
        </w:tc>
        <w:tc>
          <w:tcPr>
            <w:tcW w:w="1469" w:type="dxa"/>
          </w:tcPr>
          <w:p w14:paraId="08311E1F" w14:textId="77777777" w:rsidR="001E4568" w:rsidRPr="001E4568" w:rsidRDefault="001E4568" w:rsidP="00525540">
            <w:pPr>
              <w:jc w:val="both"/>
              <w:rPr>
                <w:rFonts w:ascii="Times New Roman" w:hAnsi="Times New Roman" w:cs="Times New Roman"/>
                <w:lang w:val="de-DE"/>
              </w:rPr>
            </w:pPr>
          </w:p>
        </w:tc>
        <w:tc>
          <w:tcPr>
            <w:tcW w:w="5615" w:type="dxa"/>
          </w:tcPr>
          <w:p w14:paraId="5F5D440E"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Diese Gruppe besteht aus Hochschul- und Forschungseinrichtungen mit den Schwerpunkten Bodenkunde, Landwirtschaft, Forstwirtschaft oder Umweltstudien, deren Ziel es ist, durch Forschung, Bildung und Öffentlichkeitsarbeit neues Wissen und Verständnis für Fragen der Bodenbewirtschaftung, einschließlich Bodengesundheit, nachhaltiger Landnutzung und Naturschutz, zu schaffen.</w:t>
            </w:r>
          </w:p>
          <w:p w14:paraId="1808C127"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Beispiele: Wissenschaftler/innen, Akademiker/innen, Forschende und Studierende an Universitäten, Forschungseinrichtungen, weiterführenden Bildungseinrichtungen, Organisationen der Zivilgesellschaft usw.</w:t>
            </w:r>
          </w:p>
        </w:tc>
        <w:tc>
          <w:tcPr>
            <w:tcW w:w="616" w:type="dxa"/>
          </w:tcPr>
          <w:p w14:paraId="22E6B682"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w:t>
            </w:r>
          </w:p>
        </w:tc>
      </w:tr>
      <w:tr w:rsidR="001E4568" w:rsidRPr="001E4568" w14:paraId="09176CF0" w14:textId="77777777" w:rsidTr="2C6C7817">
        <w:tc>
          <w:tcPr>
            <w:tcW w:w="2062" w:type="dxa"/>
          </w:tcPr>
          <w:p w14:paraId="446E4D33"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Anthropogen</w:t>
            </w:r>
          </w:p>
        </w:tc>
        <w:tc>
          <w:tcPr>
            <w:tcW w:w="1469" w:type="dxa"/>
          </w:tcPr>
          <w:p w14:paraId="56946455" w14:textId="77777777" w:rsidR="001E4568" w:rsidRPr="001E4568" w:rsidRDefault="001E4568" w:rsidP="002A67F8">
            <w:pPr>
              <w:jc w:val="both"/>
              <w:rPr>
                <w:rFonts w:ascii="Times New Roman" w:hAnsi="Times New Roman" w:cs="Times New Roman"/>
                <w:lang w:val="en-GB"/>
              </w:rPr>
            </w:pPr>
          </w:p>
        </w:tc>
        <w:tc>
          <w:tcPr>
            <w:tcW w:w="5615" w:type="dxa"/>
          </w:tcPr>
          <w:p w14:paraId="15DA03AC"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Vom Menschen erzeugt. In Bezug auf den Boden werden damit Bedingungen, Störungen oder Belastungen bezeichnet, die durch menschliche Aktivitäten verursacht werden.</w:t>
            </w:r>
          </w:p>
        </w:tc>
        <w:tc>
          <w:tcPr>
            <w:tcW w:w="616" w:type="dxa"/>
          </w:tcPr>
          <w:p w14:paraId="67CB9B73"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5BA325E4" w14:textId="77777777" w:rsidTr="2C6C7817">
        <w:tc>
          <w:tcPr>
            <w:tcW w:w="2062" w:type="dxa"/>
          </w:tcPr>
          <w:p w14:paraId="62BAE4B7"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Barrierefreiheit</w:t>
            </w:r>
          </w:p>
        </w:tc>
        <w:tc>
          <w:tcPr>
            <w:tcW w:w="1469" w:type="dxa"/>
          </w:tcPr>
          <w:p w14:paraId="36E51CCB" w14:textId="77777777" w:rsidR="001E4568" w:rsidRPr="001E4568" w:rsidRDefault="001E4568" w:rsidP="00A655ED">
            <w:pPr>
              <w:jc w:val="both"/>
              <w:rPr>
                <w:rFonts w:ascii="Times New Roman" w:hAnsi="Times New Roman" w:cs="Times New Roman"/>
                <w:lang w:val="en-GB"/>
              </w:rPr>
            </w:pPr>
          </w:p>
        </w:tc>
        <w:tc>
          <w:tcPr>
            <w:tcW w:w="5615" w:type="dxa"/>
          </w:tcPr>
          <w:p w14:paraId="0E8E6932"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 xml:space="preserve">Die Gestaltung von Produkten, Geräten, Dienstleistungen oder Umgebungen für Menschen mit Behinderungen. Barrierefreiheit bezeichnet die Einfachheit, mit der Einzelpersonen auf verschiedene Ressourcen zugreifen und diese nutzen können, einschließlich physischer Räume, digitaler Inhalte und Informationsdienste. Barrierefreiheit soll </w:t>
            </w:r>
            <w:r w:rsidRPr="001E4568">
              <w:rPr>
                <w:rFonts w:ascii="Times New Roman" w:hAnsi="Times New Roman" w:cs="Times New Roman"/>
                <w:lang w:val="de"/>
              </w:rPr>
              <w:lastRenderedPageBreak/>
              <w:t>sicherstellen, dass alle Menschen unabhängig von Fähigkeiten oder Behinderungen die gleichen Möglichkeiten haben, an der Gesellschaft teilzuhaben. Im weiteren Sinne geht es um die Nutzbarkeit von Umgebungen und Diensten durch Menschen mit unterschiedlichen Bedürfnissen. Dieses Konzept ist u. a. in den Bereichen Architektur, Webdesign, Bildung und öffentliche Ordnung von entscheidender Bedeutung.</w:t>
            </w:r>
          </w:p>
        </w:tc>
        <w:tc>
          <w:tcPr>
            <w:tcW w:w="616" w:type="dxa"/>
          </w:tcPr>
          <w:p w14:paraId="086667A7"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30</w:t>
            </w:r>
          </w:p>
        </w:tc>
      </w:tr>
      <w:tr w:rsidR="001E4568" w:rsidRPr="001E4568" w14:paraId="7AD6E110" w14:textId="77777777" w:rsidTr="2C6C7817">
        <w:tc>
          <w:tcPr>
            <w:tcW w:w="2062" w:type="dxa"/>
          </w:tcPr>
          <w:p w14:paraId="1CF18CD3"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Basensättigungsgrad</w:t>
            </w:r>
          </w:p>
        </w:tc>
        <w:tc>
          <w:tcPr>
            <w:tcW w:w="1469" w:type="dxa"/>
          </w:tcPr>
          <w:p w14:paraId="79B42AD4" w14:textId="77777777" w:rsidR="001E4568" w:rsidRPr="001E4568" w:rsidRDefault="001E4568" w:rsidP="002A67F8">
            <w:pPr>
              <w:tabs>
                <w:tab w:val="left" w:pos="262"/>
              </w:tabs>
              <w:jc w:val="both"/>
              <w:rPr>
                <w:rFonts w:ascii="Times New Roman" w:hAnsi="Times New Roman" w:cs="Times New Roman"/>
                <w:lang w:val="en-GB"/>
              </w:rPr>
            </w:pPr>
          </w:p>
        </w:tc>
        <w:tc>
          <w:tcPr>
            <w:tcW w:w="5615" w:type="dxa"/>
          </w:tcPr>
          <w:p w14:paraId="0FDBFF5B" w14:textId="77777777" w:rsidR="001E4568" w:rsidRPr="001E4568" w:rsidRDefault="001E4568" w:rsidP="002A67F8">
            <w:pPr>
              <w:tabs>
                <w:tab w:val="left" w:pos="262"/>
              </w:tabs>
              <w:jc w:val="both"/>
              <w:rPr>
                <w:rFonts w:ascii="Times New Roman" w:hAnsi="Times New Roman" w:cs="Times New Roman"/>
                <w:lang w:val="de-DE"/>
              </w:rPr>
            </w:pPr>
            <w:r w:rsidRPr="001E4568">
              <w:rPr>
                <w:rFonts w:ascii="Times New Roman" w:hAnsi="Times New Roman" w:cs="Times New Roman"/>
                <w:lang w:val="de"/>
              </w:rPr>
              <w:t>Der Prozentanteil der Austauschplätze gemäß Kationenaustauschkapazität, die mit den Kationen (Ca, Mg, Na, K) belegt sind.</w:t>
            </w:r>
          </w:p>
        </w:tc>
        <w:tc>
          <w:tcPr>
            <w:tcW w:w="616" w:type="dxa"/>
          </w:tcPr>
          <w:p w14:paraId="05DFEEC0"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76A07F15" w14:textId="77777777" w:rsidTr="2C6C7817">
        <w:tc>
          <w:tcPr>
            <w:tcW w:w="2062" w:type="dxa"/>
          </w:tcPr>
          <w:p w14:paraId="20850E30" w14:textId="77777777" w:rsidR="001E4568" w:rsidRPr="001E4568" w:rsidRDefault="001E4568" w:rsidP="002A67F8">
            <w:pPr>
              <w:rPr>
                <w:rFonts w:ascii="Times New Roman" w:hAnsi="Times New Roman" w:cs="Times New Roman"/>
                <w:b/>
                <w:lang w:val="en-GB"/>
              </w:rPr>
            </w:pPr>
            <w:r w:rsidRPr="001E4568">
              <w:rPr>
                <w:rFonts w:ascii="Times New Roman" w:hAnsi="Times New Roman" w:cs="Times New Roman"/>
                <w:b/>
                <w:color w:val="3A7C22" w:themeColor="accent6" w:themeShade="BF"/>
                <w:lang w:val="de"/>
              </w:rPr>
              <w:t>Biodiversität</w:t>
            </w:r>
          </w:p>
        </w:tc>
        <w:tc>
          <w:tcPr>
            <w:tcW w:w="1469" w:type="dxa"/>
          </w:tcPr>
          <w:p w14:paraId="2B7E0627" w14:textId="77777777" w:rsidR="001E4568" w:rsidRPr="001E4568" w:rsidRDefault="001E4568" w:rsidP="002A67F8">
            <w:pPr>
              <w:jc w:val="both"/>
              <w:rPr>
                <w:rFonts w:ascii="Times New Roman" w:hAnsi="Times New Roman" w:cs="Times New Roman"/>
                <w:lang w:val="en-GB"/>
              </w:rPr>
            </w:pPr>
          </w:p>
        </w:tc>
        <w:tc>
          <w:tcPr>
            <w:tcW w:w="5615" w:type="dxa"/>
          </w:tcPr>
          <w:p w14:paraId="1CBEE149" w14:textId="77777777" w:rsidR="001E4568" w:rsidRPr="001E4568" w:rsidRDefault="001E4568" w:rsidP="00AC40AC">
            <w:pPr>
              <w:jc w:val="both"/>
              <w:rPr>
                <w:rFonts w:ascii="Times New Roman" w:hAnsi="Times New Roman" w:cs="Times New Roman"/>
                <w:lang w:val="de-DE"/>
              </w:rPr>
            </w:pPr>
            <w:r w:rsidRPr="001E4568">
              <w:rPr>
                <w:rFonts w:ascii="Times New Roman" w:hAnsi="Times New Roman" w:cs="Times New Roman"/>
                <w:lang w:val="de"/>
              </w:rPr>
              <w:t>Ist die Vielfalt des Lebens auf der Erde auf allen Ebenen, einschließlich der genetischen Vielfalt innerhalb der Arten, der Vielfalt der Arten selbst und der Vielfalt der Ökosysteme. Sie umfasst das Spektrum der Pflanzen, Tiere, Pilze, Mikroorganismen und der ökologischen Komplexe, zu denen sie gehören. Die Biodiversität ist für die Stabilität und Resilienz der Ökosysteme von wesentlicher Bedeutung, da sie die lebenserhaltenden Prozesse wie Nährstoffkreislauf, Bestäubung, Bodenbildung und Klimaregulierung unterstützt.</w:t>
            </w:r>
          </w:p>
          <w:p w14:paraId="61D55C33" w14:textId="77777777" w:rsidR="001E4568" w:rsidRPr="001E4568" w:rsidRDefault="001E4568" w:rsidP="00AC40AC">
            <w:pPr>
              <w:jc w:val="both"/>
              <w:rPr>
                <w:rFonts w:ascii="Times New Roman" w:hAnsi="Times New Roman" w:cs="Times New Roman"/>
                <w:lang w:val="de-DE"/>
              </w:rPr>
            </w:pPr>
            <w:r w:rsidRPr="001E4568">
              <w:rPr>
                <w:rFonts w:ascii="Times New Roman" w:hAnsi="Times New Roman" w:cs="Times New Roman"/>
                <w:lang w:val="de"/>
              </w:rPr>
              <w:t>Die Funktionen der Biodiversität sind sowohl für die natürlichen Ökosysteme als auch für das menschliche Wohlbefinden von entscheidender Bedeutung. Die Biodiversität bietet Ökosystemleistungen wie Nahrung, sauberes Wasser, Medizin und Rohstoffe und hat gleichzeitig einen kulturellen, erholsamen und ästhetischen Nutzen. Sie steigert die Produktivität und Resilienz der Ökosysteme und ermöglicht es ihnen, sich von Störungen zu erholen und an Veränderungen anzupassen, wie sie beispielsweise durch den Klimawandel verursacht werden. Der Verlust der Biodiversität durch die Zerstörung von Lebensräumen, Umweltverschmutzung, Raubbau und invasive Arten bedroht diese lebenswichtigen Funktionen und Leistungen.</w:t>
            </w:r>
          </w:p>
        </w:tc>
        <w:tc>
          <w:tcPr>
            <w:tcW w:w="616" w:type="dxa"/>
          </w:tcPr>
          <w:p w14:paraId="513EF096"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39</w:t>
            </w:r>
          </w:p>
        </w:tc>
      </w:tr>
      <w:tr w:rsidR="001E4568" w:rsidRPr="001E4568" w14:paraId="4BF4983F" w14:textId="77777777" w:rsidTr="2C6C7817">
        <w:tc>
          <w:tcPr>
            <w:tcW w:w="2062" w:type="dxa"/>
          </w:tcPr>
          <w:p w14:paraId="06384B9B"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Biologischer Landbau</w:t>
            </w:r>
          </w:p>
        </w:tc>
        <w:tc>
          <w:tcPr>
            <w:tcW w:w="1469" w:type="dxa"/>
          </w:tcPr>
          <w:p w14:paraId="38B94044" w14:textId="77777777" w:rsidR="001E4568" w:rsidRPr="001E4568" w:rsidRDefault="001E4568" w:rsidP="00525540">
            <w:pPr>
              <w:jc w:val="both"/>
              <w:rPr>
                <w:rFonts w:ascii="Times New Roman" w:hAnsi="Times New Roman" w:cs="Times New Roman"/>
                <w:lang w:val="en-GB"/>
              </w:rPr>
            </w:pPr>
          </w:p>
        </w:tc>
        <w:tc>
          <w:tcPr>
            <w:tcW w:w="5615" w:type="dxa"/>
          </w:tcPr>
          <w:p w14:paraId="35E34B11"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Produktionssystem, das synthetische Chemikalien vermeidet und natürliche Verfahren für den Anbau von Feldfrüchten und die Viehzucht fördert. Der Schwerpunkt liegt dabei auf der Gesundheit von Umwelt und Böden, gleichzeitig werden genetisch veränderte Organismen (GVO), synthetische Pestizide und Antibiotika vermieden. Der biologische Landbau basiert auf ökologischen Prozessen, Biodiversität und an die örtlichen Gegebenheiten angepassten Kreisläufen und nicht auf dem Einsatz von Betriebsmitteln mit nachteiligen Auswirkungen.</w:t>
            </w:r>
          </w:p>
        </w:tc>
        <w:tc>
          <w:tcPr>
            <w:tcW w:w="616" w:type="dxa"/>
          </w:tcPr>
          <w:p w14:paraId="6BC3A743"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013BB67D" w14:textId="77777777" w:rsidTr="2C6C7817">
        <w:tc>
          <w:tcPr>
            <w:tcW w:w="2062" w:type="dxa"/>
          </w:tcPr>
          <w:p w14:paraId="018179BD"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Biomasse</w:t>
            </w:r>
          </w:p>
        </w:tc>
        <w:tc>
          <w:tcPr>
            <w:tcW w:w="1469" w:type="dxa"/>
          </w:tcPr>
          <w:p w14:paraId="5F27FAC2" w14:textId="77777777" w:rsidR="001E4568" w:rsidRPr="001E4568" w:rsidRDefault="001E4568" w:rsidP="002A67F8">
            <w:pPr>
              <w:jc w:val="both"/>
              <w:rPr>
                <w:rFonts w:ascii="Times New Roman" w:hAnsi="Times New Roman" w:cs="Times New Roman"/>
                <w:lang w:val="en-GB"/>
              </w:rPr>
            </w:pPr>
          </w:p>
        </w:tc>
        <w:tc>
          <w:tcPr>
            <w:tcW w:w="5615" w:type="dxa"/>
          </w:tcPr>
          <w:p w14:paraId="1BCBE009"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Organisches Material biologischen Ursprungs (Pflanzen und Tiere). Der Begriff kann für agroindustrielle Abwässer und Abfälle, Energiepflanzen, aus der Natur gewonnene Materialien (z. B. Holz) oder organische Abfälle verwendet werden. Biomasse kann zur Verbesserung der Bodenfruchtbarkeit und -gesundheit, zur Erhöhung der Kohlenstoffspeicherung oder als Alternative zu fossilen Rohstoffen in Bioraffinerien und industriellen Prozessen sowie als Rohstoff für die Herstellung von Biokraftstoffen genutzt werden.</w:t>
            </w:r>
          </w:p>
        </w:tc>
        <w:tc>
          <w:tcPr>
            <w:tcW w:w="616" w:type="dxa"/>
          </w:tcPr>
          <w:p w14:paraId="775E8C5D"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7A352B1C" w14:textId="77777777" w:rsidTr="2C6C7817">
        <w:tc>
          <w:tcPr>
            <w:tcW w:w="2062" w:type="dxa"/>
          </w:tcPr>
          <w:p w14:paraId="6AD47FB2"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Boden</w:t>
            </w:r>
          </w:p>
        </w:tc>
        <w:tc>
          <w:tcPr>
            <w:tcW w:w="1469" w:type="dxa"/>
          </w:tcPr>
          <w:p w14:paraId="7533C8E5" w14:textId="77777777" w:rsidR="001E4568" w:rsidRPr="001E4568" w:rsidRDefault="001E4568" w:rsidP="00525540">
            <w:pPr>
              <w:jc w:val="both"/>
              <w:rPr>
                <w:rFonts w:ascii="Times New Roman" w:hAnsi="Times New Roman" w:cs="Times New Roman"/>
                <w:lang w:val="en-GB"/>
              </w:rPr>
            </w:pPr>
          </w:p>
        </w:tc>
        <w:tc>
          <w:tcPr>
            <w:tcW w:w="5615" w:type="dxa"/>
          </w:tcPr>
          <w:p w14:paraId="5EAF00E3"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 xml:space="preserve">Das biologisch aktive, poröse Medium, das sich in der obersten Schicht der Erdkruste entwickelt hat und eines der wichtigsten Substrate für das Leben auf der Erde ist. Der </w:t>
            </w:r>
            <w:r w:rsidRPr="001E4568">
              <w:rPr>
                <w:rFonts w:ascii="Times New Roman" w:hAnsi="Times New Roman" w:cs="Times New Roman"/>
                <w:lang w:val="de"/>
              </w:rPr>
              <w:lastRenderedPageBreak/>
              <w:t>Boden ist ein komplexes, dynamisches und lebendes System, das im Laufe der Zeit durch das Zusammenspiel von physikalischen, chemischen und biologischen Prozessen gebildet wird. Er besteht aus mineralischen Partikeln unterschiedlicher Größe, organischen Stoffen, Wasser und Luft, die alle zusammen eine Grundmasse bilden, welche das Pflanzenwachstum fördert und Lebensraum für Bodenorganismen bietet.</w:t>
            </w:r>
          </w:p>
        </w:tc>
        <w:tc>
          <w:tcPr>
            <w:tcW w:w="616" w:type="dxa"/>
          </w:tcPr>
          <w:p w14:paraId="7AC1DC8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2</w:t>
            </w:r>
          </w:p>
        </w:tc>
      </w:tr>
      <w:tr w:rsidR="001E4568" w:rsidRPr="001E4568" w14:paraId="5A831918" w14:textId="77777777" w:rsidTr="2C6C7817">
        <w:tc>
          <w:tcPr>
            <w:tcW w:w="2062" w:type="dxa"/>
          </w:tcPr>
          <w:p w14:paraId="64C3C0E3"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Bodenaggregate</w:t>
            </w:r>
          </w:p>
        </w:tc>
        <w:tc>
          <w:tcPr>
            <w:tcW w:w="1469" w:type="dxa"/>
          </w:tcPr>
          <w:p w14:paraId="44CBBE13" w14:textId="77777777" w:rsidR="001E4568" w:rsidRPr="001E4568" w:rsidRDefault="001E4568" w:rsidP="00525540">
            <w:pPr>
              <w:jc w:val="both"/>
              <w:rPr>
                <w:rFonts w:ascii="Times New Roman" w:hAnsi="Times New Roman" w:cs="Times New Roman"/>
                <w:lang w:val="en-GB"/>
              </w:rPr>
            </w:pPr>
          </w:p>
        </w:tc>
        <w:tc>
          <w:tcPr>
            <w:tcW w:w="5615" w:type="dxa"/>
          </w:tcPr>
          <w:p w14:paraId="5747B12C" w14:textId="77777777" w:rsidR="001E4568" w:rsidRPr="001E4568" w:rsidRDefault="001E4568" w:rsidP="00525540">
            <w:pPr>
              <w:jc w:val="both"/>
              <w:rPr>
                <w:rFonts w:ascii="Times New Roman" w:hAnsi="Times New Roman" w:cs="Times New Roman"/>
                <w:lang w:val="en-GB"/>
              </w:rPr>
            </w:pPr>
            <w:r w:rsidRPr="001E4568">
              <w:rPr>
                <w:rFonts w:ascii="Times New Roman" w:hAnsi="Times New Roman" w:cs="Times New Roman"/>
                <w:lang w:val="de"/>
              </w:rPr>
              <w:t>Bodenaggregate bestehen aus zwei oder mehr Bodenpartikeln, die durch verschiedene Kräfte miteinander verbunden sind. Bodenaggregate sind Bodenkörper in verschiedenen Formen und Größen.</w:t>
            </w:r>
          </w:p>
        </w:tc>
        <w:tc>
          <w:tcPr>
            <w:tcW w:w="616" w:type="dxa"/>
          </w:tcPr>
          <w:p w14:paraId="7464CFC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3132918A" w14:textId="77777777" w:rsidTr="2C6C7817">
        <w:tc>
          <w:tcPr>
            <w:tcW w:w="2062" w:type="dxa"/>
          </w:tcPr>
          <w:p w14:paraId="7266A2D4"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Bodenbeschaffenheit</w:t>
            </w:r>
          </w:p>
        </w:tc>
        <w:tc>
          <w:tcPr>
            <w:tcW w:w="1469" w:type="dxa"/>
          </w:tcPr>
          <w:p w14:paraId="66819B8B" w14:textId="77777777" w:rsidR="001E4568" w:rsidRPr="001E4568" w:rsidRDefault="001E4568" w:rsidP="00525540">
            <w:pPr>
              <w:jc w:val="both"/>
              <w:rPr>
                <w:rFonts w:ascii="Times New Roman" w:hAnsi="Times New Roman" w:cs="Times New Roman"/>
                <w:lang w:val="en-GB"/>
              </w:rPr>
            </w:pPr>
          </w:p>
        </w:tc>
        <w:tc>
          <w:tcPr>
            <w:tcW w:w="5615" w:type="dxa"/>
          </w:tcPr>
          <w:p w14:paraId="15391F81"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Bodenbeschaffenheit bezieht sich auf den Zustand des Bodens und umfasst dessen physikalische, chemische und biologische Eigenschaften sowie die damit verbundenen Prozesse und Wechselwirkungen, die wiederum die Fähigkeit des Bodens bestimmen, Ökosystemleistungen zu erbringen.</w:t>
            </w:r>
          </w:p>
        </w:tc>
        <w:tc>
          <w:tcPr>
            <w:tcW w:w="616" w:type="dxa"/>
          </w:tcPr>
          <w:p w14:paraId="4B7A62F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w:t>
            </w:r>
          </w:p>
        </w:tc>
      </w:tr>
      <w:tr w:rsidR="001E4568" w:rsidRPr="001E4568" w14:paraId="40FCEE49" w14:textId="77777777" w:rsidTr="2C6C7817">
        <w:tc>
          <w:tcPr>
            <w:tcW w:w="2062" w:type="dxa"/>
          </w:tcPr>
          <w:p w14:paraId="7C063ABD"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Bodendegradation</w:t>
            </w:r>
          </w:p>
        </w:tc>
        <w:tc>
          <w:tcPr>
            <w:tcW w:w="1469" w:type="dxa"/>
          </w:tcPr>
          <w:p w14:paraId="16085C2C" w14:textId="77777777" w:rsidR="001E4568" w:rsidRPr="001E4568" w:rsidRDefault="001E4568" w:rsidP="00525540">
            <w:pPr>
              <w:jc w:val="both"/>
              <w:rPr>
                <w:rFonts w:ascii="Times New Roman" w:hAnsi="Times New Roman" w:cs="Times New Roman"/>
                <w:lang w:val="en-GB"/>
              </w:rPr>
            </w:pPr>
          </w:p>
        </w:tc>
        <w:tc>
          <w:tcPr>
            <w:tcW w:w="5615" w:type="dxa"/>
          </w:tcPr>
          <w:p w14:paraId="59C4D308"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Negativer Prozess, der häufig durch menschliche Tätigkeiten (unsachgemäße Bodennutzung und -bewirtschaftung, Bodenversiegelung) beschleunigt wird und zur Verschlechterung der Bodeneigenschaften und -funktionen oder zur Zerstörung des Bodens als Ganzes führt, z. B. Verdichtung, Erosion, Versalzung.</w:t>
            </w:r>
          </w:p>
        </w:tc>
        <w:tc>
          <w:tcPr>
            <w:tcW w:w="616" w:type="dxa"/>
          </w:tcPr>
          <w:p w14:paraId="6EE0CBF2"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2,3</w:t>
            </w:r>
          </w:p>
        </w:tc>
      </w:tr>
      <w:tr w:rsidR="001E4568" w:rsidRPr="001E4568" w14:paraId="0C4830EA" w14:textId="77777777" w:rsidTr="2C6C7817">
        <w:tc>
          <w:tcPr>
            <w:tcW w:w="2062" w:type="dxa"/>
          </w:tcPr>
          <w:p w14:paraId="424E4B99"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Bodenerosion</w:t>
            </w:r>
          </w:p>
        </w:tc>
        <w:tc>
          <w:tcPr>
            <w:tcW w:w="1469" w:type="dxa"/>
          </w:tcPr>
          <w:p w14:paraId="50B707B2" w14:textId="77777777" w:rsidR="001E4568" w:rsidRPr="001E4568" w:rsidRDefault="001E4568" w:rsidP="002A67F8">
            <w:pPr>
              <w:jc w:val="both"/>
              <w:rPr>
                <w:rFonts w:ascii="Times New Roman" w:hAnsi="Times New Roman" w:cs="Times New Roman"/>
                <w:lang w:val="en-GB"/>
              </w:rPr>
            </w:pPr>
          </w:p>
        </w:tc>
        <w:tc>
          <w:tcPr>
            <w:tcW w:w="5615" w:type="dxa"/>
          </w:tcPr>
          <w:p w14:paraId="18AF0CB6" w14:textId="77777777" w:rsidR="001E4568" w:rsidRPr="001E4568" w:rsidRDefault="001E4568" w:rsidP="00E03E8D">
            <w:pPr>
              <w:jc w:val="both"/>
              <w:rPr>
                <w:rFonts w:ascii="Times New Roman" w:hAnsi="Times New Roman" w:cs="Times New Roman"/>
                <w:lang w:val="de-DE"/>
              </w:rPr>
            </w:pPr>
            <w:bookmarkStart w:id="0" w:name="_Hlk187700130"/>
            <w:r w:rsidRPr="001E4568">
              <w:rPr>
                <w:rFonts w:ascii="Times New Roman" w:hAnsi="Times New Roman" w:cs="Times New Roman"/>
                <w:lang w:val="de"/>
              </w:rPr>
              <w:t xml:space="preserve">Erosion ist die Abtragung von Land oder Boden durch einen oder mehrere Prozesse. Zu den Hauptursachen der Erosion gehören die Einwirkung von Wasser (Rillen, Rinnen, Gräben, Schneeschmelze, Ufererosion von Flüssen und Seen), Wind (Austrocknung und Windwurf), Verlagerung (Bodenbearbeitung, Nivellierung des Bodens, Ernte von Hackfrüchten, Zertrampeln, Wühltiere) und geologische Ursachen (interne unterirdische Erosion durch Grundwasser, Küstenerosion, Erdrutsche). Die Erosion kann auch durch schlechte Landbewirtschaftung wie Überweidung, Entwaldung oder unsachgemäßen Einsatz von Mechanisierung, z. B. Pflügen eines Berghangs, verstärkt werden. </w:t>
            </w:r>
          </w:p>
          <w:bookmarkEnd w:id="0"/>
          <w:p w14:paraId="0E875BD1" w14:textId="77777777" w:rsidR="001E4568" w:rsidRPr="001E4568" w:rsidRDefault="001E4568" w:rsidP="00E03E8D">
            <w:pPr>
              <w:jc w:val="both"/>
              <w:rPr>
                <w:rFonts w:ascii="Times New Roman" w:hAnsi="Times New Roman" w:cs="Times New Roman"/>
                <w:lang w:val="de-DE"/>
              </w:rPr>
            </w:pPr>
            <w:r w:rsidRPr="001E4568">
              <w:rPr>
                <w:rFonts w:ascii="Times New Roman" w:hAnsi="Times New Roman" w:cs="Times New Roman"/>
                <w:lang w:val="de"/>
              </w:rPr>
              <w:t xml:space="preserve">Beispiel einer Catena zur Bodenerosion nach </w:t>
            </w:r>
            <w:r w:rsidRPr="001E4568">
              <w:rPr>
                <w:rFonts w:ascii="Times New Roman" w:hAnsi="Times New Roman" w:cs="Times New Roman"/>
                <w:color w:val="000000" w:themeColor="text1"/>
                <w:lang w:val="de"/>
              </w:rPr>
              <w:t xml:space="preserve">Radziuk und Świtoniak (2022; </w:t>
            </w:r>
            <w:r w:rsidRPr="001E4568">
              <w:rPr>
                <w:rFonts w:ascii="Times New Roman" w:hAnsi="Times New Roman" w:cs="Times New Roman"/>
                <w:lang w:val="de"/>
              </w:rPr>
              <w:t>6):</w:t>
            </w:r>
          </w:p>
          <w:p w14:paraId="79DA0F27" w14:textId="77777777" w:rsidR="001E4568" w:rsidRPr="001E4568" w:rsidRDefault="001E4568" w:rsidP="00E03E8D">
            <w:pPr>
              <w:jc w:val="both"/>
              <w:rPr>
                <w:rFonts w:ascii="Times New Roman" w:hAnsi="Times New Roman" w:cs="Times New Roman"/>
                <w:lang w:val="de-DE"/>
              </w:rPr>
            </w:pPr>
          </w:p>
          <w:p w14:paraId="3D844E25" w14:textId="77777777" w:rsidR="001E4568" w:rsidRPr="001E4568" w:rsidRDefault="001E4568" w:rsidP="002A67F8">
            <w:pPr>
              <w:jc w:val="both"/>
              <w:rPr>
                <w:rFonts w:ascii="Times New Roman" w:hAnsi="Times New Roman" w:cs="Times New Roman"/>
                <w:lang w:val="en-GB"/>
              </w:rPr>
            </w:pPr>
            <w:r w:rsidRPr="001E4568">
              <w:rPr>
                <w:rFonts w:ascii="Times New Roman" w:hAnsi="Times New Roman" w:cs="Times New Roman"/>
                <w:noProof/>
                <w:lang w:val="de"/>
              </w:rPr>
              <w:lastRenderedPageBreak/>
              <w:drawing>
                <wp:inline distT="0" distB="0" distL="0" distR="0" wp14:anchorId="0F643F2C" wp14:editId="13D826E5">
                  <wp:extent cx="3393110" cy="321475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1980" cy="3223160"/>
                          </a:xfrm>
                          <a:prstGeom prst="rect">
                            <a:avLst/>
                          </a:prstGeom>
                        </pic:spPr>
                      </pic:pic>
                    </a:graphicData>
                  </a:graphic>
                </wp:inline>
              </w:drawing>
            </w:r>
          </w:p>
          <w:p w14:paraId="17B6A867" w14:textId="77777777" w:rsidR="001E4568" w:rsidRPr="001E4568" w:rsidRDefault="001E4568" w:rsidP="002A67F8">
            <w:pPr>
              <w:jc w:val="both"/>
              <w:rPr>
                <w:rStyle w:val="Hyperlink"/>
                <w:rFonts w:ascii="Times New Roman" w:hAnsi="Times New Roman" w:cs="Times New Roman"/>
                <w:color w:val="000000" w:themeColor="text1"/>
                <w:u w:val="none"/>
                <w:lang w:val="en-GB"/>
              </w:rPr>
            </w:pPr>
            <w:r w:rsidRPr="001E4568">
              <w:rPr>
                <w:rFonts w:ascii="Times New Roman" w:hAnsi="Times New Roman" w:cs="Times New Roman"/>
                <w:lang w:val="en-GB"/>
              </w:rPr>
              <w:t>Quelle:</w:t>
            </w:r>
            <w:r w:rsidRPr="001E4568">
              <w:rPr>
                <w:rFonts w:ascii="Times New Roman" w:hAnsi="Times New Roman" w:cs="Times New Roman"/>
                <w:color w:val="000000" w:themeColor="text1"/>
                <w:lang w:val="en-GB"/>
              </w:rPr>
              <w:t xml:space="preserve"> </w:t>
            </w:r>
            <w:proofErr w:type="spellStart"/>
            <w:r w:rsidRPr="001E4568">
              <w:rPr>
                <w:rFonts w:ascii="Times New Roman" w:hAnsi="Times New Roman" w:cs="Times New Roman"/>
                <w:color w:val="000000" w:themeColor="text1"/>
                <w:lang w:val="en-GB"/>
              </w:rPr>
              <w:t>Radziuk</w:t>
            </w:r>
            <w:proofErr w:type="spellEnd"/>
            <w:r w:rsidRPr="001E4568">
              <w:rPr>
                <w:rFonts w:ascii="Times New Roman" w:hAnsi="Times New Roman" w:cs="Times New Roman"/>
                <w:color w:val="000000" w:themeColor="text1"/>
                <w:lang w:val="en-GB"/>
              </w:rPr>
              <w:t xml:space="preserve"> und </w:t>
            </w:r>
            <w:proofErr w:type="spellStart"/>
            <w:r w:rsidRPr="001E4568">
              <w:rPr>
                <w:rFonts w:ascii="Times New Roman" w:hAnsi="Times New Roman" w:cs="Times New Roman"/>
                <w:color w:val="000000" w:themeColor="text1"/>
                <w:lang w:val="en-GB"/>
              </w:rPr>
              <w:t>Świtoniak</w:t>
            </w:r>
            <w:proofErr w:type="spellEnd"/>
            <w:r w:rsidRPr="001E4568">
              <w:rPr>
                <w:rFonts w:ascii="Times New Roman" w:hAnsi="Times New Roman" w:cs="Times New Roman"/>
                <w:color w:val="000000" w:themeColor="text1"/>
                <w:lang w:val="en-GB"/>
              </w:rPr>
              <w:t xml:space="preserve">. 2022. Agronomy (MDPI), </w:t>
            </w:r>
            <w:hyperlink r:id="rId12" w:history="1">
              <w:r w:rsidRPr="001E4568">
                <w:rPr>
                  <w:rStyle w:val="Hyperlink"/>
                  <w:rFonts w:ascii="Times New Roman" w:hAnsi="Times New Roman" w:cs="Times New Roman"/>
                  <w:color w:val="000000" w:themeColor="text1"/>
                  <w:u w:val="none"/>
                  <w:lang w:val="en-GB"/>
                </w:rPr>
                <w:t>https://doi.org/10.3390/agronomy12112595</w:t>
              </w:r>
            </w:hyperlink>
          </w:p>
          <w:p w14:paraId="55672B6B" w14:textId="77777777" w:rsidR="001E4568" w:rsidRPr="001E4568" w:rsidRDefault="001E4568" w:rsidP="002A67F8">
            <w:pPr>
              <w:jc w:val="both"/>
              <w:rPr>
                <w:rFonts w:ascii="Times New Roman" w:hAnsi="Times New Roman" w:cs="Times New Roman"/>
                <w:lang w:val="en-GB"/>
              </w:rPr>
            </w:pPr>
          </w:p>
        </w:tc>
        <w:tc>
          <w:tcPr>
            <w:tcW w:w="616" w:type="dxa"/>
          </w:tcPr>
          <w:p w14:paraId="71F983F5"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13,6</w:t>
            </w:r>
          </w:p>
        </w:tc>
      </w:tr>
      <w:tr w:rsidR="001E4568" w:rsidRPr="001E4568" w14:paraId="5E9117A7" w14:textId="77777777" w:rsidTr="2C6C7817">
        <w:tc>
          <w:tcPr>
            <w:tcW w:w="2062" w:type="dxa"/>
          </w:tcPr>
          <w:p w14:paraId="48892B7E"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Bodenfruchtbarkeit</w:t>
            </w:r>
          </w:p>
        </w:tc>
        <w:tc>
          <w:tcPr>
            <w:tcW w:w="1469" w:type="dxa"/>
          </w:tcPr>
          <w:p w14:paraId="51565A3D" w14:textId="77777777" w:rsidR="001E4568" w:rsidRPr="001E4568" w:rsidRDefault="001E4568" w:rsidP="00525540">
            <w:pPr>
              <w:jc w:val="both"/>
              <w:rPr>
                <w:rFonts w:ascii="Times New Roman" w:hAnsi="Times New Roman" w:cs="Times New Roman"/>
                <w:lang w:val="en-GB"/>
              </w:rPr>
            </w:pPr>
          </w:p>
        </w:tc>
        <w:tc>
          <w:tcPr>
            <w:tcW w:w="5615" w:type="dxa"/>
          </w:tcPr>
          <w:p w14:paraId="78D0AB5A"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Fähigkeit des Bodens, essenzielle Nährstoffe und Bodenwasser in angemessenen Mengen und Verhältnissen für das Pflanzenwachstum und die Pflanzenreproduktion bereitzustellen. Zeichnet sich durch günstige chemische, physikalische und biologische Wachstumseigenschaften als Lebensraum für Pflanzen aus.</w:t>
            </w:r>
          </w:p>
        </w:tc>
        <w:tc>
          <w:tcPr>
            <w:tcW w:w="616" w:type="dxa"/>
          </w:tcPr>
          <w:p w14:paraId="784A89B0"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2, 4</w:t>
            </w:r>
          </w:p>
        </w:tc>
      </w:tr>
      <w:tr w:rsidR="001E4568" w:rsidRPr="001E4568" w14:paraId="7079C9A1" w14:textId="77777777" w:rsidTr="2C6C7817">
        <w:tc>
          <w:tcPr>
            <w:tcW w:w="2062" w:type="dxa"/>
          </w:tcPr>
          <w:p w14:paraId="7F453F1A"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Bodenfunktionen</w:t>
            </w:r>
          </w:p>
        </w:tc>
        <w:tc>
          <w:tcPr>
            <w:tcW w:w="1469" w:type="dxa"/>
          </w:tcPr>
          <w:p w14:paraId="1E92B5B1" w14:textId="77777777" w:rsidR="001E4568" w:rsidRPr="001E4568" w:rsidRDefault="001E4568" w:rsidP="00525540">
            <w:pPr>
              <w:jc w:val="both"/>
              <w:rPr>
                <w:rFonts w:ascii="Times New Roman" w:hAnsi="Times New Roman" w:cs="Times New Roman"/>
                <w:lang w:val="en-GB"/>
              </w:rPr>
            </w:pPr>
          </w:p>
        </w:tc>
        <w:tc>
          <w:tcPr>
            <w:tcW w:w="5615" w:type="dxa"/>
          </w:tcPr>
          <w:p w14:paraId="7D511AD8" w14:textId="77777777" w:rsidR="001E4568" w:rsidRPr="001E4568" w:rsidRDefault="001E4568" w:rsidP="00525540">
            <w:pPr>
              <w:jc w:val="both"/>
              <w:rPr>
                <w:rFonts w:ascii="Times New Roman" w:hAnsi="Times New Roman" w:cs="Times New Roman"/>
                <w:lang w:val="en-GB"/>
              </w:rPr>
            </w:pPr>
            <w:r w:rsidRPr="001E4568">
              <w:rPr>
                <w:rFonts w:ascii="Times New Roman" w:hAnsi="Times New Roman" w:cs="Times New Roman"/>
                <w:lang w:val="de"/>
              </w:rPr>
              <w:t>Die Funktionen von Ökosystemen sind direkt und indirekt mit dem Boden verbunden. Böden bieten viele Funktionen und ein gesunder Boden sorgt für saubere Luft und sauberes Wasser, reiche Ernten und Wälder, ertragreiches Weideland, eine vielfältige Tierwelt und schöne Landschaften. Der Boden erfüllt dabei fünf wesentliche Funktionen:</w:t>
            </w:r>
          </w:p>
          <w:p w14:paraId="2B7FBE9D" w14:textId="77777777" w:rsidR="001E4568" w:rsidRPr="001E4568" w:rsidRDefault="001E4568" w:rsidP="00525540">
            <w:pPr>
              <w:pStyle w:val="ListParagraph"/>
              <w:numPr>
                <w:ilvl w:val="0"/>
                <w:numId w:val="2"/>
              </w:numPr>
              <w:ind w:left="244" w:hanging="244"/>
              <w:jc w:val="both"/>
              <w:rPr>
                <w:rFonts w:ascii="Times New Roman" w:hAnsi="Times New Roman" w:cs="Times New Roman"/>
                <w:lang w:val="de-DE"/>
              </w:rPr>
            </w:pPr>
            <w:r w:rsidRPr="001E4568">
              <w:rPr>
                <w:rFonts w:ascii="Times New Roman" w:hAnsi="Times New Roman" w:cs="Times New Roman"/>
                <w:lang w:val="de"/>
              </w:rPr>
              <w:t>Nährstoffkreislauf – Der Boden speichert Nährstoffe und andere Elemente und lenkt deren Freisetzung und Kreislauf. Bei diesen biogeochemischen Prozessen, die dem Wasserkreislauf entsprechen, können Nährstoffe in pflanzenverfügbare Formen umgewandelt, im Boden gehalten oder auch in Luft oder Wasser freigesetzt werden.</w:t>
            </w:r>
          </w:p>
          <w:p w14:paraId="5EC06779" w14:textId="77777777" w:rsidR="001E4568" w:rsidRPr="001E4568" w:rsidRDefault="001E4568" w:rsidP="00525540">
            <w:pPr>
              <w:pStyle w:val="ListParagraph"/>
              <w:numPr>
                <w:ilvl w:val="0"/>
                <w:numId w:val="2"/>
              </w:numPr>
              <w:ind w:left="244" w:hanging="244"/>
              <w:jc w:val="both"/>
              <w:rPr>
                <w:rFonts w:ascii="Times New Roman" w:hAnsi="Times New Roman" w:cs="Times New Roman"/>
                <w:lang w:val="de-DE"/>
              </w:rPr>
            </w:pPr>
            <w:r w:rsidRPr="001E4568">
              <w:rPr>
                <w:rFonts w:ascii="Times New Roman" w:hAnsi="Times New Roman" w:cs="Times New Roman"/>
                <w:lang w:val="de"/>
              </w:rPr>
              <w:t>Wasserhaushalt – Der Boden kann den Ablauf, den Fluss und die Speicherung von Wasser und gelösten Stoffen regulieren, z. B. Stickstoff, Phosphor, Pestizide und andere im Wasser gelöste Nährstoffe und Verbindungen. Bei ordnungsgemäßer Funktion teilt der Boden das Wasser für die Grundwasserneubildung und die Nutzung durch Pflanzen und Bodentiere auf.</w:t>
            </w:r>
          </w:p>
          <w:p w14:paraId="164E7004" w14:textId="77777777" w:rsidR="001E4568" w:rsidRPr="001E4568" w:rsidRDefault="001E4568" w:rsidP="00525540">
            <w:pPr>
              <w:pStyle w:val="ListParagraph"/>
              <w:numPr>
                <w:ilvl w:val="0"/>
                <w:numId w:val="2"/>
              </w:numPr>
              <w:ind w:left="244" w:hanging="244"/>
              <w:jc w:val="both"/>
              <w:rPr>
                <w:rFonts w:ascii="Times New Roman" w:hAnsi="Times New Roman" w:cs="Times New Roman"/>
                <w:lang w:val="de-DE"/>
              </w:rPr>
            </w:pPr>
            <w:r w:rsidRPr="001E4568">
              <w:rPr>
                <w:rFonts w:ascii="Times New Roman" w:hAnsi="Times New Roman" w:cs="Times New Roman"/>
                <w:lang w:val="de"/>
              </w:rPr>
              <w:t>Artenvielfalt und Lebensraum – Der Boden fördert das Wachstum einer Vielzahl von Pflanzen, Tieren und Bodenmikroorganismen, indem er in der Regel einen vielfältigen physikalischen, chemischen und biologischen Lebensraum bietet.</w:t>
            </w:r>
          </w:p>
          <w:p w14:paraId="5A2C01DF" w14:textId="77777777" w:rsidR="001E4568" w:rsidRPr="001E4568" w:rsidRDefault="001E4568" w:rsidP="00525540">
            <w:pPr>
              <w:pStyle w:val="ListParagraph"/>
              <w:numPr>
                <w:ilvl w:val="0"/>
                <w:numId w:val="2"/>
              </w:numPr>
              <w:ind w:left="244" w:hanging="244"/>
              <w:jc w:val="both"/>
              <w:rPr>
                <w:rFonts w:ascii="Times New Roman" w:hAnsi="Times New Roman" w:cs="Times New Roman"/>
                <w:lang w:val="de-DE"/>
              </w:rPr>
            </w:pPr>
            <w:r w:rsidRPr="001E4568">
              <w:rPr>
                <w:rFonts w:ascii="Times New Roman" w:hAnsi="Times New Roman" w:cs="Times New Roman"/>
                <w:lang w:val="de"/>
              </w:rPr>
              <w:t xml:space="preserve">Filtern und Puffern – Der Boden fungiert als Filter zum Schutz der Qualität von Wasser, Luft und anderen </w:t>
            </w:r>
            <w:r w:rsidRPr="001E4568">
              <w:rPr>
                <w:rFonts w:ascii="Times New Roman" w:hAnsi="Times New Roman" w:cs="Times New Roman"/>
                <w:lang w:val="de"/>
              </w:rPr>
              <w:lastRenderedPageBreak/>
              <w:t>Ressourcen. Toxische Verbindungen oder überschüssige Nährstoffe können neutralisiert, umgewandelt oder auf andere Weise für Pflanzen und Tiere unverfügbar gemacht werden.</w:t>
            </w:r>
          </w:p>
          <w:p w14:paraId="6550BF98" w14:textId="77777777" w:rsidR="001E4568" w:rsidRPr="001E4568" w:rsidRDefault="001E4568" w:rsidP="00B22A51">
            <w:pPr>
              <w:pStyle w:val="ListParagraph"/>
              <w:numPr>
                <w:ilvl w:val="0"/>
                <w:numId w:val="2"/>
              </w:numPr>
              <w:ind w:left="282" w:hanging="282"/>
              <w:jc w:val="both"/>
              <w:rPr>
                <w:rFonts w:ascii="Times New Roman" w:hAnsi="Times New Roman" w:cs="Times New Roman"/>
                <w:lang w:val="de-DE"/>
              </w:rPr>
            </w:pPr>
            <w:r w:rsidRPr="001E4568">
              <w:rPr>
                <w:rFonts w:ascii="Times New Roman" w:hAnsi="Times New Roman" w:cs="Times New Roman"/>
                <w:lang w:val="de"/>
              </w:rPr>
              <w:t>Physikalische Stabilität und Tragfähigkeit – Der Boden ist in der Lage, seine poröse Struktur aufrechtzuerhalten, die Passage von Luft, Gasen und Wasser zu regulieren, erosiven Kräften zu widerstehen, schwere Lasten zu tragen und ein Medium für Pflanzenwurzeln zu bieten.</w:t>
            </w:r>
          </w:p>
        </w:tc>
        <w:tc>
          <w:tcPr>
            <w:tcW w:w="616" w:type="dxa"/>
          </w:tcPr>
          <w:p w14:paraId="65D32686"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7</w:t>
            </w:r>
          </w:p>
        </w:tc>
      </w:tr>
      <w:tr w:rsidR="001E4568" w:rsidRPr="001E4568" w14:paraId="4D1B34F7" w14:textId="77777777" w:rsidTr="2C6C7817">
        <w:tc>
          <w:tcPr>
            <w:tcW w:w="2062" w:type="dxa"/>
          </w:tcPr>
          <w:p w14:paraId="0B39155C" w14:textId="77777777" w:rsidR="001E4568" w:rsidRPr="001E4568" w:rsidRDefault="001E4568" w:rsidP="00A655ED">
            <w:pPr>
              <w:rPr>
                <w:rFonts w:ascii="Times New Roman" w:hAnsi="Times New Roman" w:cs="Times New Roman"/>
                <w:b/>
                <w:color w:val="BF4E14" w:themeColor="accent2" w:themeShade="BF"/>
                <w:lang w:val="en-GB"/>
              </w:rPr>
            </w:pPr>
            <w:r w:rsidRPr="001E4568">
              <w:rPr>
                <w:rFonts w:ascii="Times New Roman" w:hAnsi="Times New Roman" w:cs="Times New Roman"/>
                <w:b/>
                <w:color w:val="3A7C22" w:themeColor="accent6" w:themeShade="BF"/>
                <w:lang w:val="de"/>
              </w:rPr>
              <w:t>Bodengenese</w:t>
            </w:r>
          </w:p>
        </w:tc>
        <w:tc>
          <w:tcPr>
            <w:tcW w:w="1469" w:type="dxa"/>
          </w:tcPr>
          <w:p w14:paraId="27F5253E" w14:textId="77777777" w:rsidR="001E4568" w:rsidRPr="001E4568" w:rsidRDefault="001E4568" w:rsidP="00A655ED">
            <w:pPr>
              <w:jc w:val="both"/>
              <w:rPr>
                <w:rFonts w:ascii="Times New Roman" w:hAnsi="Times New Roman" w:cs="Times New Roman"/>
                <w:lang w:val="en-GB"/>
              </w:rPr>
            </w:pPr>
          </w:p>
        </w:tc>
        <w:tc>
          <w:tcPr>
            <w:tcW w:w="5615" w:type="dxa"/>
          </w:tcPr>
          <w:p w14:paraId="02A2858F"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Der Prozess der Umwandlung von Gesteinsmaterial in Bodenprofile. Böden entstehen unter dem Einfluss der wichtigsten Elemente der natürlichen Umwelt, d. h. Ausgangsmaterial, Relief, Klima, lebende Organismen und Zeit (Dokuchaev, 1883), aber auch unter dem Einfluss menschlicher Aktivitäten. Diese bodenbildenden Faktoren wirken zusammen und die Morphologie und Eigenschaften der einzelnen Böden hängen vom lokalen Zusammenspiel dieser Faktoren ab.</w:t>
            </w:r>
          </w:p>
        </w:tc>
        <w:tc>
          <w:tcPr>
            <w:tcW w:w="616" w:type="dxa"/>
          </w:tcPr>
          <w:p w14:paraId="2FEA5DBF"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15</w:t>
            </w:r>
          </w:p>
        </w:tc>
      </w:tr>
      <w:tr w:rsidR="001E4568" w:rsidRPr="001E4568" w14:paraId="65D4E08A" w14:textId="77777777" w:rsidTr="2C6C7817">
        <w:tc>
          <w:tcPr>
            <w:tcW w:w="2062" w:type="dxa"/>
          </w:tcPr>
          <w:p w14:paraId="27CBCAA3" w14:textId="77777777" w:rsidR="001E4568" w:rsidRPr="001E4568" w:rsidRDefault="001E4568" w:rsidP="00A655ED">
            <w:pPr>
              <w:rPr>
                <w:rFonts w:ascii="Times New Roman" w:hAnsi="Times New Roman" w:cs="Times New Roman"/>
                <w:lang w:val="en-GB"/>
              </w:rPr>
            </w:pPr>
            <w:r w:rsidRPr="001E4568">
              <w:rPr>
                <w:rFonts w:ascii="Times New Roman" w:hAnsi="Times New Roman" w:cs="Times New Roman"/>
                <w:b/>
                <w:color w:val="3A7C22" w:themeColor="accent6" w:themeShade="BF"/>
                <w:lang w:val="de"/>
              </w:rPr>
              <w:t>Bodengesundheit</w:t>
            </w:r>
          </w:p>
        </w:tc>
        <w:tc>
          <w:tcPr>
            <w:tcW w:w="1469" w:type="dxa"/>
          </w:tcPr>
          <w:p w14:paraId="5029A010" w14:textId="77777777" w:rsidR="001E4568" w:rsidRPr="001E4568" w:rsidRDefault="001E4568" w:rsidP="00525540">
            <w:pPr>
              <w:jc w:val="both"/>
              <w:rPr>
                <w:rFonts w:ascii="Times New Roman" w:hAnsi="Times New Roman" w:cs="Times New Roman"/>
                <w:lang w:val="en-GB"/>
              </w:rPr>
            </w:pPr>
          </w:p>
        </w:tc>
        <w:tc>
          <w:tcPr>
            <w:tcW w:w="5615" w:type="dxa"/>
          </w:tcPr>
          <w:p w14:paraId="67EE5F46"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Der Boden ist die Grundlage für 95 % unserer Lebensmittel. Wenn Böden gesund sind, erbringen sie wichtige Ökosystemleistungen wie sauberes Wasser und Lebensräume für die biologische Vielfalt. Sie sind wichtige Kohlenstoffspeicher, die zur Verlangsamung des Klimawandels beitragen und Gebiete widerstandsfähiger gegenüber extremen klimatischen Ereignissen machen. Böden sind ein wesentlicher Bestandteil der Landschaften, den wir alle schätzen, und bilden die Grundlage unserer Wirtschaft und unseres Wohlstands. Ein Boden ist gesund, wenn er kontinuierlich als vitales, lebendes System funktioniert.</w:t>
            </w:r>
          </w:p>
        </w:tc>
        <w:tc>
          <w:tcPr>
            <w:tcW w:w="616" w:type="dxa"/>
          </w:tcPr>
          <w:p w14:paraId="3EC9FBFD"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1,46</w:t>
            </w:r>
          </w:p>
        </w:tc>
      </w:tr>
      <w:tr w:rsidR="001E4568" w:rsidRPr="001E4568" w14:paraId="0B342E7E" w14:textId="77777777" w:rsidTr="2C6C7817">
        <w:tc>
          <w:tcPr>
            <w:tcW w:w="2062" w:type="dxa"/>
          </w:tcPr>
          <w:p w14:paraId="32B700D9" w14:textId="77777777" w:rsidR="001E4568" w:rsidRPr="001E4568" w:rsidRDefault="001E4568" w:rsidP="00A655ED">
            <w:pPr>
              <w:rPr>
                <w:rFonts w:ascii="Times New Roman" w:hAnsi="Times New Roman" w:cs="Times New Roman"/>
                <w:b/>
                <w:color w:val="BF4E14" w:themeColor="accent2" w:themeShade="BF"/>
                <w:lang w:val="en-GB"/>
              </w:rPr>
            </w:pPr>
            <w:r w:rsidRPr="001E4568">
              <w:rPr>
                <w:rFonts w:ascii="Times New Roman" w:hAnsi="Times New Roman" w:cs="Times New Roman"/>
                <w:b/>
                <w:color w:val="3A7C22" w:themeColor="accent6" w:themeShade="BF"/>
                <w:lang w:val="de"/>
              </w:rPr>
              <w:t>Bodenhorizont</w:t>
            </w:r>
          </w:p>
        </w:tc>
        <w:tc>
          <w:tcPr>
            <w:tcW w:w="1469" w:type="dxa"/>
          </w:tcPr>
          <w:p w14:paraId="31A86232" w14:textId="77777777" w:rsidR="001E4568" w:rsidRPr="001E4568" w:rsidRDefault="001E4568" w:rsidP="00A655ED">
            <w:pPr>
              <w:jc w:val="both"/>
              <w:rPr>
                <w:rFonts w:ascii="Times New Roman" w:hAnsi="Times New Roman" w:cs="Times New Roman"/>
                <w:lang w:val="en-GB"/>
              </w:rPr>
            </w:pPr>
          </w:p>
        </w:tc>
        <w:tc>
          <w:tcPr>
            <w:tcW w:w="5615" w:type="dxa"/>
          </w:tcPr>
          <w:p w14:paraId="23CBD814"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Eine der Schichten, die im Bodenprofil als Ergebnis von Bodenbildungsprozessen entstehen. Ein Horizont kann als deutlich sichtbare Schicht erscheinen, in der Regel sind die Horizonte jedoch subtiler abgegrenzt. In Gartenböden und dort, wo der Boden viel bewegt wurde, können diese Schichten verloren gehen oder schwieriger zu erkennen sein.</w:t>
            </w:r>
          </w:p>
        </w:tc>
        <w:tc>
          <w:tcPr>
            <w:tcW w:w="616" w:type="dxa"/>
          </w:tcPr>
          <w:p w14:paraId="5E2D4EC8"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13</w:t>
            </w:r>
          </w:p>
        </w:tc>
      </w:tr>
      <w:tr w:rsidR="001E4568" w:rsidRPr="001E4568" w14:paraId="685EC6CA" w14:textId="77777777" w:rsidTr="2C6C7817">
        <w:tc>
          <w:tcPr>
            <w:tcW w:w="2062" w:type="dxa"/>
          </w:tcPr>
          <w:p w14:paraId="6BE85776"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Bodenkompetenz</w:t>
            </w:r>
          </w:p>
        </w:tc>
        <w:tc>
          <w:tcPr>
            <w:tcW w:w="1469" w:type="dxa"/>
          </w:tcPr>
          <w:p w14:paraId="4B7032D7" w14:textId="77777777" w:rsidR="001E4568" w:rsidRPr="001E4568" w:rsidRDefault="001E4568" w:rsidP="00A655ED">
            <w:pPr>
              <w:jc w:val="both"/>
              <w:rPr>
                <w:rFonts w:ascii="Times New Roman" w:hAnsi="Times New Roman" w:cs="Times New Roman"/>
                <w:lang w:val="en-GB"/>
              </w:rPr>
            </w:pPr>
          </w:p>
        </w:tc>
        <w:tc>
          <w:tcPr>
            <w:tcW w:w="5615" w:type="dxa"/>
          </w:tcPr>
          <w:p w14:paraId="2A5B4E61"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 xml:space="preserve">Bodenkompetenz ist das Verständnis und die Kenntnis der Rolle des Bodens für Ökosysteme, Landwirtschaft und Umweltgesundheit. Sie umfasst Wissen über die Zusammensetzung und Funktionen des Bodens sowie über Bewirtschaftungsmethoden, die eine nachhaltige Landnutzung fördern. </w:t>
            </w:r>
          </w:p>
          <w:p w14:paraId="0BDAA4C6"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Die wichtigsten Aspekte der Bodenkompetenz sind:</w:t>
            </w:r>
          </w:p>
          <w:p w14:paraId="5DF008FC"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Verständnis der Bedeutung der Bodenzusammensetzung</w:t>
            </w:r>
            <w:r w:rsidRPr="001E4568">
              <w:rPr>
                <w:rFonts w:ascii="Times New Roman" w:hAnsi="Times New Roman" w:cs="Times New Roman"/>
                <w:lang w:val="de"/>
              </w:rPr>
              <w:t>: Kenntnis der physikalischen und chemischen Eigenschaften des Bodens, einschließlich der mineralogischen Zusammensetzung, des Gehalts an organischen Stoffen und des Feuchtigkeitszustands.</w:t>
            </w:r>
          </w:p>
          <w:p w14:paraId="5C958935"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bCs/>
                <w:lang w:val="de"/>
              </w:rPr>
              <w:t>Bodenfunktionen</w:t>
            </w:r>
            <w:r w:rsidRPr="001E4568">
              <w:rPr>
                <w:rFonts w:ascii="Times New Roman" w:hAnsi="Times New Roman" w:cs="Times New Roman"/>
                <w:lang w:val="de"/>
              </w:rPr>
              <w:t>: Wissen über die verschiedenen Aufgaben des Bodens, z. B. die Unterstützung des Pflanzenwachstums, die Regulierung des Wasserkreislaufs, die Speicherung von Kohlenstoff und die Bereitstellung eines Lebensraums für Organismen.</w:t>
            </w:r>
          </w:p>
          <w:p w14:paraId="6FBD920A"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Bodenbewirtschaftungsmethoden</w:t>
            </w:r>
            <w:r w:rsidRPr="001E4568">
              <w:rPr>
                <w:rFonts w:ascii="Times New Roman" w:hAnsi="Times New Roman" w:cs="Times New Roman"/>
                <w:lang w:val="de"/>
              </w:rPr>
              <w:t xml:space="preserve">: Wissen über nachhaltige Verfahren zur Verbesserung der Bodengesundheit wie </w:t>
            </w:r>
            <w:r w:rsidRPr="001E4568">
              <w:rPr>
                <w:rFonts w:ascii="Times New Roman" w:hAnsi="Times New Roman" w:cs="Times New Roman"/>
                <w:lang w:val="de"/>
              </w:rPr>
              <w:lastRenderedPageBreak/>
              <w:t>Fruchtfolge, Deckfruchtanbau, reduzierte Bodenbearbeitung und die Verwendung von organischen Zusätzen.</w:t>
            </w:r>
          </w:p>
          <w:p w14:paraId="56987707"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Auswirkungen auf Ökosysteme</w:t>
            </w:r>
            <w:r w:rsidRPr="001E4568">
              <w:rPr>
                <w:rFonts w:ascii="Times New Roman" w:hAnsi="Times New Roman" w:cs="Times New Roman"/>
                <w:lang w:val="de"/>
              </w:rPr>
              <w:t>: Erkennen, wie sich die Bodengesundheit auf weiter gefasste Umweltaspekte wie Biodiversität, Klimawandel und Wasserqualität auswirkt.</w:t>
            </w:r>
          </w:p>
          <w:p w14:paraId="321B28E0"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Einbeziehung des Gemeinwesens</w:t>
            </w:r>
            <w:r w:rsidRPr="001E4568">
              <w:rPr>
                <w:rFonts w:ascii="Times New Roman" w:hAnsi="Times New Roman" w:cs="Times New Roman"/>
                <w:lang w:val="de"/>
              </w:rPr>
              <w:t>: Motivieren lokaler Gemeinschaften, sich durch Bildung und partizipative Verfahren mit Bodenthemen zu befassen.</w:t>
            </w:r>
          </w:p>
          <w:p w14:paraId="56FBF157"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Bodenkompetenz ist für die Förderung nachhaltiger landwirtschaftlicher Praktiken und des Umweltschutzes von entscheidender Bedeutung. Sie befähigt Einzelpersonen und Gemeinschaften, fundierte Entscheidungen in Bezug auf Landnutzung und Naturschutz zu treffen.</w:t>
            </w:r>
          </w:p>
        </w:tc>
        <w:tc>
          <w:tcPr>
            <w:tcW w:w="616" w:type="dxa"/>
          </w:tcPr>
          <w:p w14:paraId="1A6679E3"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23, Loess</w:t>
            </w:r>
          </w:p>
        </w:tc>
      </w:tr>
      <w:tr w:rsidR="001E4568" w:rsidRPr="001E4568" w14:paraId="52A136D7" w14:textId="77777777" w:rsidTr="2C6C7817">
        <w:tc>
          <w:tcPr>
            <w:tcW w:w="2062" w:type="dxa"/>
          </w:tcPr>
          <w:p w14:paraId="16FD1E9C"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Bodenkontamination</w:t>
            </w:r>
          </w:p>
        </w:tc>
        <w:tc>
          <w:tcPr>
            <w:tcW w:w="1469" w:type="dxa"/>
          </w:tcPr>
          <w:p w14:paraId="078BF761" w14:textId="77777777" w:rsidR="001E4568" w:rsidRPr="001E4568" w:rsidRDefault="001E4568" w:rsidP="00525540">
            <w:pPr>
              <w:jc w:val="both"/>
              <w:rPr>
                <w:rFonts w:ascii="Times New Roman" w:hAnsi="Times New Roman" w:cs="Times New Roman"/>
                <w:lang w:val="en-GB"/>
              </w:rPr>
            </w:pPr>
          </w:p>
        </w:tc>
        <w:tc>
          <w:tcPr>
            <w:tcW w:w="5615" w:type="dxa"/>
          </w:tcPr>
          <w:p w14:paraId="1F9DFA44"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Das Vorhandensein einer Chemikalie oder einer Substanz im Boden in einer Konzentration, die für die menschliche Gesundheit oder die Umwelt schädlich sein kann. Kontamination kann eine direkte toxische Wirkung auf Pflanzen, Tiere oder Menschen haben, die in, auf oder von diesem Boden leben, oder eine indirekte toxische Wirkung aufgrund der Akkumulation in der gesamten trophischen Kette.</w:t>
            </w:r>
          </w:p>
        </w:tc>
        <w:tc>
          <w:tcPr>
            <w:tcW w:w="616" w:type="dxa"/>
          </w:tcPr>
          <w:p w14:paraId="0A96B4C2"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2, 4</w:t>
            </w:r>
          </w:p>
        </w:tc>
      </w:tr>
      <w:tr w:rsidR="001E4568" w:rsidRPr="001E4568" w14:paraId="53EBEFCD" w14:textId="77777777" w:rsidTr="2C6C7817">
        <w:tc>
          <w:tcPr>
            <w:tcW w:w="2062" w:type="dxa"/>
          </w:tcPr>
          <w:p w14:paraId="0DC1B112"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Bodennutzbarkeit</w:t>
            </w:r>
          </w:p>
        </w:tc>
        <w:tc>
          <w:tcPr>
            <w:tcW w:w="1469" w:type="dxa"/>
          </w:tcPr>
          <w:p w14:paraId="5AB2C6A5" w14:textId="77777777" w:rsidR="001E4568" w:rsidRPr="001E4568" w:rsidRDefault="001E4568" w:rsidP="00525540">
            <w:pPr>
              <w:jc w:val="both"/>
              <w:rPr>
                <w:rFonts w:ascii="Times New Roman" w:hAnsi="Times New Roman" w:cs="Times New Roman"/>
                <w:lang w:val="en-GB"/>
              </w:rPr>
            </w:pPr>
          </w:p>
        </w:tc>
        <w:tc>
          <w:tcPr>
            <w:tcW w:w="5615" w:type="dxa"/>
          </w:tcPr>
          <w:p w14:paraId="177B903F"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Fähigkeit eines Bodens, Funktionen zu liefern bzw. Aufgaben zu erfüllen.</w:t>
            </w:r>
          </w:p>
        </w:tc>
        <w:tc>
          <w:tcPr>
            <w:tcW w:w="616" w:type="dxa"/>
          </w:tcPr>
          <w:p w14:paraId="7A596E5D"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w:t>
            </w:r>
          </w:p>
        </w:tc>
      </w:tr>
      <w:tr w:rsidR="001E4568" w:rsidRPr="001E4568" w14:paraId="743197B5" w14:textId="77777777" w:rsidTr="2C6C7817">
        <w:tc>
          <w:tcPr>
            <w:tcW w:w="2062" w:type="dxa"/>
          </w:tcPr>
          <w:p w14:paraId="1D5B7BCB"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 xml:space="preserve">Bodenschutz </w:t>
            </w:r>
          </w:p>
        </w:tc>
        <w:tc>
          <w:tcPr>
            <w:tcW w:w="1469" w:type="dxa"/>
          </w:tcPr>
          <w:p w14:paraId="59A8D8EF" w14:textId="77777777" w:rsidR="001E4568" w:rsidRPr="001E4568" w:rsidRDefault="001E4568" w:rsidP="00525540">
            <w:pPr>
              <w:jc w:val="both"/>
              <w:rPr>
                <w:rFonts w:ascii="Times New Roman" w:hAnsi="Times New Roman" w:cs="Times New Roman"/>
                <w:lang w:val="en-GB"/>
              </w:rPr>
            </w:pPr>
          </w:p>
        </w:tc>
        <w:tc>
          <w:tcPr>
            <w:tcW w:w="5615" w:type="dxa"/>
          </w:tcPr>
          <w:p w14:paraId="3D973FE3"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Ein zielgerichteter Prozess, der notwendig ist, um den Boden und seine Eigenschaften zu erhalten, und der auf verschiedenen Ebenen (persönlich, lokal, national, kontinental) durchgeführt wird und Informationen aus der Bodenforschung für eine nachhaltige Bewirtschaftung der Böden nutzt.</w:t>
            </w:r>
          </w:p>
        </w:tc>
        <w:tc>
          <w:tcPr>
            <w:tcW w:w="616" w:type="dxa"/>
          </w:tcPr>
          <w:p w14:paraId="6E7AB2FD"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7DDCD2AC" w14:textId="77777777" w:rsidTr="2C6C7817">
        <w:tc>
          <w:tcPr>
            <w:tcW w:w="2062" w:type="dxa"/>
          </w:tcPr>
          <w:p w14:paraId="2D95E813"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Bodentyp</w:t>
            </w:r>
          </w:p>
        </w:tc>
        <w:tc>
          <w:tcPr>
            <w:tcW w:w="1469" w:type="dxa"/>
          </w:tcPr>
          <w:p w14:paraId="6AF4FB57" w14:textId="77777777" w:rsidR="001E4568" w:rsidRPr="001E4568" w:rsidRDefault="001E4568" w:rsidP="00A655ED">
            <w:pPr>
              <w:jc w:val="both"/>
              <w:rPr>
                <w:rFonts w:ascii="Times New Roman" w:hAnsi="Times New Roman" w:cs="Times New Roman"/>
                <w:lang w:val="en-GB"/>
              </w:rPr>
            </w:pPr>
          </w:p>
        </w:tc>
        <w:tc>
          <w:tcPr>
            <w:tcW w:w="5615" w:type="dxa"/>
          </w:tcPr>
          <w:p w14:paraId="535B1BA9"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Der Bodentyp ist eine konzeptionelle und stark generalisierte Einheit, die in der Bodenkunde in vielen Bodenklassifikationssystemen verwendet wird. Der Bodentyp wird hauptsächlich auf der Grundlage der Merkmale definiert, die aus den Bodenbildungsprozessen (Pedogenese) resultieren. Böden mit einer bestimmten Abfolge von genetischen Horizonten und bestimmten Eigenschaften werden einem Bodentyp zugeordnet.</w:t>
            </w:r>
          </w:p>
        </w:tc>
        <w:tc>
          <w:tcPr>
            <w:tcW w:w="616" w:type="dxa"/>
          </w:tcPr>
          <w:p w14:paraId="69410154"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16</w:t>
            </w:r>
          </w:p>
        </w:tc>
      </w:tr>
      <w:tr w:rsidR="001E4568" w:rsidRPr="001E4568" w14:paraId="5017C4CF" w14:textId="77777777" w:rsidTr="2C6C7817">
        <w:tc>
          <w:tcPr>
            <w:tcW w:w="2062" w:type="dxa"/>
          </w:tcPr>
          <w:p w14:paraId="1B8B048D"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Bodenunabhängige Landwirtschaft</w:t>
            </w:r>
          </w:p>
        </w:tc>
        <w:tc>
          <w:tcPr>
            <w:tcW w:w="1469" w:type="dxa"/>
          </w:tcPr>
          <w:p w14:paraId="3F3A56A3" w14:textId="77777777" w:rsidR="001E4568" w:rsidRPr="001E4568" w:rsidRDefault="001E4568" w:rsidP="00A655ED">
            <w:pPr>
              <w:jc w:val="both"/>
              <w:rPr>
                <w:rFonts w:ascii="Times New Roman" w:hAnsi="Times New Roman" w:cs="Times New Roman"/>
                <w:lang w:val="en-GB"/>
              </w:rPr>
            </w:pPr>
          </w:p>
        </w:tc>
        <w:tc>
          <w:tcPr>
            <w:tcW w:w="5615" w:type="dxa"/>
          </w:tcPr>
          <w:p w14:paraId="3C1A74A5"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Eine Anbaumethode, die sich nicht auf den traditionellen Bodenanbau stützt. Bei diesem Ansatz werden alternative Anbaumedien wie Hydroponik, Aeroponik oder Aquaponik für den Anbau von Nutzpflanzen verwendet. Die bodenunabhängige Landwirtschaft zielt darauf ab, die Ressourcennutzung zu optimieren, die Bodendegradation zu minimieren und die Nahrungsmittelproduktion in städtischen oder trockenen Gebieten zu steigern, in denen die Bodenqualität schlecht ist oder keine Böden verfügbar sind. Bei dieser Methode liegt der Schwerpunkt häufig auf Nachhaltigkeit, Effizienz und der Fähigkeit, Umweltfaktoren zu kontrollieren, um den Ernteertrag zu steigern.</w:t>
            </w:r>
          </w:p>
        </w:tc>
        <w:tc>
          <w:tcPr>
            <w:tcW w:w="616" w:type="dxa"/>
          </w:tcPr>
          <w:p w14:paraId="5DF9B814"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33</w:t>
            </w:r>
          </w:p>
        </w:tc>
      </w:tr>
      <w:tr w:rsidR="001E4568" w:rsidRPr="001E4568" w14:paraId="05C37B66" w14:textId="77777777" w:rsidTr="2C6C7817">
        <w:tc>
          <w:tcPr>
            <w:tcW w:w="2062" w:type="dxa"/>
          </w:tcPr>
          <w:p w14:paraId="3AE62878"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Bodenverbessernde Pflanzen</w:t>
            </w:r>
          </w:p>
        </w:tc>
        <w:tc>
          <w:tcPr>
            <w:tcW w:w="1469" w:type="dxa"/>
          </w:tcPr>
          <w:p w14:paraId="2AAB5352" w14:textId="77777777" w:rsidR="001E4568" w:rsidRPr="001E4568" w:rsidRDefault="001E4568" w:rsidP="00A655ED">
            <w:pPr>
              <w:jc w:val="both"/>
              <w:rPr>
                <w:rFonts w:ascii="Times New Roman" w:hAnsi="Times New Roman" w:cs="Times New Roman"/>
                <w:lang w:val="en-GB"/>
              </w:rPr>
            </w:pPr>
          </w:p>
        </w:tc>
        <w:tc>
          <w:tcPr>
            <w:tcW w:w="5615" w:type="dxa"/>
          </w:tcPr>
          <w:p w14:paraId="09A82E75"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 xml:space="preserve">Pflanzen, die die Bodenfruchtbarkeit und -gesundheit durch verschiedene Mechanismen verbessern, z. B. durch Stickstofffixierung oder Hinzufügung organischer Stoffe. Ein Beispiel dafür sind Hülsenfrüchte, die für ihre Fähigkeit bekannt sind, die Qualität des Bodens durch die Bindung von Stickstoff zu erhöhen. Dieser Prozess steigert die </w:t>
            </w:r>
            <w:r w:rsidRPr="001E4568">
              <w:rPr>
                <w:rFonts w:ascii="Times New Roman" w:hAnsi="Times New Roman" w:cs="Times New Roman"/>
                <w:lang w:val="de"/>
              </w:rPr>
              <w:lastRenderedPageBreak/>
              <w:t>Bodenfruchtbarkeit erheblich und fördert das Wachstum nachfolgender Kulturen, deshalb sind Hülsenfrüchte in nachhaltigen Anbausystemen von wesentlicher Bedeutung. Darüber hinaus besitzen auch Roggen, Hafer, Buchweizen und Sudangras bodenverbessernde Eigenschaften.</w:t>
            </w:r>
          </w:p>
        </w:tc>
        <w:tc>
          <w:tcPr>
            <w:tcW w:w="616" w:type="dxa"/>
          </w:tcPr>
          <w:p w14:paraId="140B04CA"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17, 18</w:t>
            </w:r>
          </w:p>
        </w:tc>
      </w:tr>
      <w:tr w:rsidR="001E4568" w:rsidRPr="001E4568" w14:paraId="6E400086" w14:textId="77777777" w:rsidTr="2C6C7817">
        <w:tc>
          <w:tcPr>
            <w:tcW w:w="2062" w:type="dxa"/>
          </w:tcPr>
          <w:p w14:paraId="3761AC81"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Bodenverdichtung</w:t>
            </w:r>
          </w:p>
        </w:tc>
        <w:tc>
          <w:tcPr>
            <w:tcW w:w="1469" w:type="dxa"/>
          </w:tcPr>
          <w:p w14:paraId="3923B066" w14:textId="77777777" w:rsidR="001E4568" w:rsidRPr="001E4568" w:rsidRDefault="001E4568" w:rsidP="00525540">
            <w:pPr>
              <w:jc w:val="both"/>
              <w:rPr>
                <w:rFonts w:ascii="Times New Roman" w:hAnsi="Times New Roman" w:cs="Times New Roman"/>
                <w:lang w:val="en-GB"/>
              </w:rPr>
            </w:pPr>
          </w:p>
        </w:tc>
        <w:tc>
          <w:tcPr>
            <w:tcW w:w="5615" w:type="dxa"/>
          </w:tcPr>
          <w:p w14:paraId="2933033C"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Veränderung der Beschaffenheit des Bodens in einer Weise, dass das Porenvolumen zwischen den Bodenpartikeln oder -aggregaten abnimmt. Dies führt zu einem Anstieg der Schüttdichte und ein stark verdichteter Boden ist potenziell deutlich weniger durchlässig und weniger gut belüftet. Der Mensch verursacht Verdichtung durch Wilderei (wiederholtes Zertrampeln durch Tierhufe) oder durch das Befahren mit schweren Maschinen. Ein weiteres typisches Beispiel sind Pflugsohlen oder Spurrinnen, die durch die Bodenbearbeitung entstehen und Wurzelentwicklung und Entwässerung beeinträchtigen können.</w:t>
            </w:r>
          </w:p>
        </w:tc>
        <w:tc>
          <w:tcPr>
            <w:tcW w:w="616" w:type="dxa"/>
          </w:tcPr>
          <w:p w14:paraId="250FE7E5"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58F58877" w14:textId="77777777" w:rsidTr="2C6C7817">
        <w:tc>
          <w:tcPr>
            <w:tcW w:w="2062" w:type="dxa"/>
          </w:tcPr>
          <w:p w14:paraId="286107B2"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Brachland</w:t>
            </w:r>
          </w:p>
        </w:tc>
        <w:tc>
          <w:tcPr>
            <w:tcW w:w="1469" w:type="dxa"/>
          </w:tcPr>
          <w:p w14:paraId="2D710A9C" w14:textId="77777777" w:rsidR="001E4568" w:rsidRPr="001E4568" w:rsidRDefault="001E4568" w:rsidP="002A67F8">
            <w:pPr>
              <w:jc w:val="both"/>
              <w:rPr>
                <w:rFonts w:ascii="Times New Roman" w:hAnsi="Times New Roman" w:cs="Times New Roman"/>
                <w:lang w:val="en-GB"/>
              </w:rPr>
            </w:pPr>
          </w:p>
        </w:tc>
        <w:tc>
          <w:tcPr>
            <w:tcW w:w="5615" w:type="dxa"/>
          </w:tcPr>
          <w:p w14:paraId="64B0DF6E"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Ackerland, das stillgelegt wird, um die Produktivität durch Ansammlung von Feuchtigkeit oder organischem Material wiederherzustellen. Die Sommerbrache ist in Regionen mit begrenzten Niederschlägen, in denen Getreide angebaut wird, üblich. Mindestens eine Vegetationsperiode wird hierbei für die Unkrautbekämpfung und Zersetzung von Pflanzenresten genutzt.</w:t>
            </w:r>
          </w:p>
        </w:tc>
        <w:tc>
          <w:tcPr>
            <w:tcW w:w="616" w:type="dxa"/>
          </w:tcPr>
          <w:p w14:paraId="70787A37"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5C620927" w14:textId="77777777" w:rsidTr="2C6C7817">
        <w:tc>
          <w:tcPr>
            <w:tcW w:w="2062" w:type="dxa"/>
          </w:tcPr>
          <w:p w14:paraId="5E811A11"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Denitrifikation</w:t>
            </w:r>
          </w:p>
        </w:tc>
        <w:tc>
          <w:tcPr>
            <w:tcW w:w="1469" w:type="dxa"/>
          </w:tcPr>
          <w:p w14:paraId="19D1DA0A" w14:textId="77777777" w:rsidR="001E4568" w:rsidRPr="001E4568" w:rsidRDefault="001E4568" w:rsidP="002A67F8">
            <w:pPr>
              <w:jc w:val="both"/>
              <w:rPr>
                <w:rFonts w:ascii="Times New Roman" w:hAnsi="Times New Roman" w:cs="Times New Roman"/>
                <w:lang w:val="en-GB"/>
              </w:rPr>
            </w:pPr>
          </w:p>
        </w:tc>
        <w:tc>
          <w:tcPr>
            <w:tcW w:w="5615" w:type="dxa"/>
          </w:tcPr>
          <w:p w14:paraId="22A67FA3"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Die Umwandlung von Nitrit oder Nitrat in Stickstoffgas (N</w:t>
            </w:r>
            <w:r w:rsidRPr="001E4568">
              <w:rPr>
                <w:rFonts w:ascii="Times New Roman" w:hAnsi="Times New Roman" w:cs="Times New Roman"/>
                <w:vertAlign w:val="subscript"/>
                <w:lang w:val="de"/>
              </w:rPr>
              <w:t>2</w:t>
            </w:r>
            <w:r w:rsidRPr="001E4568">
              <w:rPr>
                <w:rFonts w:ascii="Times New Roman" w:hAnsi="Times New Roman" w:cs="Times New Roman"/>
                <w:lang w:val="de"/>
              </w:rPr>
              <w:t>) oder Distickstoffoxid (N</w:t>
            </w:r>
            <w:r w:rsidRPr="001E4568">
              <w:rPr>
                <w:rFonts w:ascii="Times New Roman" w:hAnsi="Times New Roman" w:cs="Times New Roman"/>
                <w:vertAlign w:val="subscript"/>
                <w:lang w:val="de"/>
              </w:rPr>
              <w:t>2</w:t>
            </w:r>
            <w:r w:rsidRPr="001E4568">
              <w:rPr>
                <w:rFonts w:ascii="Times New Roman" w:hAnsi="Times New Roman" w:cs="Times New Roman"/>
                <w:lang w:val="de"/>
              </w:rPr>
              <w:t>O) durch einige wenige Arten anaerober Bodenbakterien. Sowohl N</w:t>
            </w:r>
            <w:r w:rsidRPr="001E4568">
              <w:rPr>
                <w:rFonts w:ascii="Times New Roman" w:hAnsi="Times New Roman" w:cs="Times New Roman"/>
                <w:vertAlign w:val="subscript"/>
                <w:lang w:val="de"/>
              </w:rPr>
              <w:t>2</w:t>
            </w:r>
            <w:r w:rsidRPr="001E4568">
              <w:rPr>
                <w:rFonts w:ascii="Times New Roman" w:hAnsi="Times New Roman" w:cs="Times New Roman"/>
                <w:lang w:val="de"/>
              </w:rPr>
              <w:t xml:space="preserve"> als auch N</w:t>
            </w:r>
            <w:r w:rsidRPr="001E4568">
              <w:rPr>
                <w:rFonts w:ascii="Times New Roman" w:hAnsi="Times New Roman" w:cs="Times New Roman"/>
                <w:vertAlign w:val="subscript"/>
                <w:lang w:val="de"/>
              </w:rPr>
              <w:t>2</w:t>
            </w:r>
            <w:r w:rsidRPr="001E4568">
              <w:rPr>
                <w:rFonts w:ascii="Times New Roman" w:hAnsi="Times New Roman" w:cs="Times New Roman"/>
                <w:lang w:val="de"/>
              </w:rPr>
              <w:t>O sind flüchtig und werden in die Atmosphäre freigesetzt.</w:t>
            </w:r>
          </w:p>
        </w:tc>
        <w:tc>
          <w:tcPr>
            <w:tcW w:w="616" w:type="dxa"/>
          </w:tcPr>
          <w:p w14:paraId="687B470F"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5931BF77" w14:textId="77777777" w:rsidTr="2C6C7817">
        <w:tc>
          <w:tcPr>
            <w:tcW w:w="2062" w:type="dxa"/>
          </w:tcPr>
          <w:p w14:paraId="3805FCED" w14:textId="77777777" w:rsidR="001E4568" w:rsidRPr="001E4568" w:rsidRDefault="001E4568" w:rsidP="2C6C7817">
            <w:pPr>
              <w:rPr>
                <w:rFonts w:ascii="Times New Roman" w:hAnsi="Times New Roman" w:cs="Times New Roman"/>
                <w:b/>
                <w:bCs/>
                <w:color w:val="3A7C22" w:themeColor="accent6" w:themeShade="BF"/>
                <w:lang w:val="en-GB"/>
              </w:rPr>
            </w:pPr>
            <w:r w:rsidRPr="001E4568">
              <w:rPr>
                <w:rFonts w:ascii="Times New Roman" w:hAnsi="Times New Roman" w:cs="Times New Roman"/>
                <w:b/>
                <w:bCs/>
                <w:color w:val="3A7C22" w:themeColor="accent6" w:themeShade="BF"/>
                <w:lang w:val="de"/>
              </w:rPr>
              <w:t>Direktsaat</w:t>
            </w:r>
          </w:p>
        </w:tc>
        <w:tc>
          <w:tcPr>
            <w:tcW w:w="1469" w:type="dxa"/>
          </w:tcPr>
          <w:p w14:paraId="58C4EF2E" w14:textId="77777777" w:rsidR="001E4568" w:rsidRPr="001E4568" w:rsidRDefault="001E4568" w:rsidP="00525540">
            <w:pPr>
              <w:jc w:val="both"/>
              <w:rPr>
                <w:rFonts w:ascii="Times New Roman" w:hAnsi="Times New Roman" w:cs="Times New Roman"/>
                <w:lang w:val="en-GB"/>
              </w:rPr>
            </w:pPr>
          </w:p>
        </w:tc>
        <w:tc>
          <w:tcPr>
            <w:tcW w:w="5615" w:type="dxa"/>
          </w:tcPr>
          <w:p w14:paraId="1618A4CF"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wichtigste agronomische Praxis in der konservierenden Landwirtschaft für einjährige Kulturen. Sie ist definiert als eine Anbaumethode, bei der kein Eingriff in den Boden erfolgt. Bei der Direktsaat sollten unmittelbar nach der Aussaat mindestens 30 % der Fläche mit Pflanzenrückständen bedeckt sein. Die Aussaat erfolgt mit Maschinen, die in der Lage sind, das Saatgut durch die Pflanzenreste der Vorfrüchte hindurch auszubringen.</w:t>
            </w:r>
          </w:p>
          <w:p w14:paraId="4A775EA8"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Direktsaat ist die wichtigste agronomische Praxis der konservierenden Landwirtschaft für einjährige Kulturen und sie bietet das höchste Maß an Bodenerhaltung, denn dadurch entfällt die mechanische Bearbeitung des Bodens. Darüber hinaus trägt die Direktsaat in trockenen Klimazonen dazu bei, das Wasser im Boden zu halten, indem die Verdunstungsverluste über die Bodenoberfläche verringert werden, die bei herkömmlicher Bodenbearbeitung mit einer Wendung des Bodens in der Regel ansteigen.</w:t>
            </w:r>
          </w:p>
        </w:tc>
        <w:tc>
          <w:tcPr>
            <w:tcW w:w="616" w:type="dxa"/>
          </w:tcPr>
          <w:p w14:paraId="60773B7B"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5E0064B4" w14:textId="77777777" w:rsidTr="2C6C7817">
        <w:tc>
          <w:tcPr>
            <w:tcW w:w="2062" w:type="dxa"/>
          </w:tcPr>
          <w:p w14:paraId="648B13A4"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Düngerersatzwert (Fertilizer Replacement Value, FRV)</w:t>
            </w:r>
          </w:p>
        </w:tc>
        <w:tc>
          <w:tcPr>
            <w:tcW w:w="1469" w:type="dxa"/>
          </w:tcPr>
          <w:p w14:paraId="467D6B7F" w14:textId="77777777" w:rsidR="001E4568" w:rsidRPr="001E4568" w:rsidRDefault="001E4568" w:rsidP="00525540">
            <w:pPr>
              <w:jc w:val="both"/>
              <w:rPr>
                <w:rFonts w:ascii="Times New Roman" w:hAnsi="Times New Roman" w:cs="Times New Roman"/>
                <w:lang w:val="en-GB"/>
              </w:rPr>
            </w:pPr>
          </w:p>
        </w:tc>
        <w:tc>
          <w:tcPr>
            <w:tcW w:w="5615" w:type="dxa"/>
          </w:tcPr>
          <w:p w14:paraId="5491B6B6"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Wird in kg/100 kg ausgedrückt und quantifiziert die Nährstoffmenge (z. B. Stickstoff, Phosphor, Kalium), die von 100 Kilogramm einer organischen Nährstoffquelle (wie Mist, Kompost oder Ernterückstände) geliefert wird, als Äquivalent der Nährstoffmenge, die von Mineraldüngern geliefert wird.</w:t>
            </w:r>
            <w:r w:rsidRPr="001E4568">
              <w:rPr>
                <w:lang w:val="de"/>
              </w:rPr>
              <w:t xml:space="preserve"> </w:t>
            </w:r>
            <w:r w:rsidRPr="001E4568">
              <w:rPr>
                <w:rFonts w:ascii="Times New Roman" w:hAnsi="Times New Roman" w:cs="Times New Roman"/>
                <w:lang w:val="de"/>
              </w:rPr>
              <w:t>Wenn beispielsweise 100 kg Mist einen FRV von 3 kg für Phosphor (P) haben, liefern diese die gleiche Menge an verfügbarem Phosphor wie 3 kg eines mineralischen Phosphordüngers.</w:t>
            </w:r>
          </w:p>
          <w:p w14:paraId="751B3A35"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 xml:space="preserve">Diese Kennzahl hilft den Landwirten, den Nährstoffgehalt von organischen Materialien mit dem von synthetischen </w:t>
            </w:r>
            <w:r w:rsidRPr="001E4568">
              <w:rPr>
                <w:rFonts w:ascii="Times New Roman" w:hAnsi="Times New Roman" w:cs="Times New Roman"/>
                <w:lang w:val="de"/>
              </w:rPr>
              <w:lastRenderedPageBreak/>
              <w:t xml:space="preserve">Düngemitteln zu vergleichen und fundierte Entscheidungen über das Nährstoffmanagement zu treffen. </w:t>
            </w:r>
          </w:p>
        </w:tc>
        <w:tc>
          <w:tcPr>
            <w:tcW w:w="616" w:type="dxa"/>
          </w:tcPr>
          <w:p w14:paraId="3094F825"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4, 42</w:t>
            </w:r>
          </w:p>
        </w:tc>
      </w:tr>
      <w:tr w:rsidR="001E4568" w:rsidRPr="001E4568" w14:paraId="6BBB176C" w14:textId="77777777" w:rsidTr="2C6C7817">
        <w:tc>
          <w:tcPr>
            <w:tcW w:w="2062" w:type="dxa"/>
          </w:tcPr>
          <w:p w14:paraId="50242F3F"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Düngung</w:t>
            </w:r>
          </w:p>
        </w:tc>
        <w:tc>
          <w:tcPr>
            <w:tcW w:w="1469" w:type="dxa"/>
          </w:tcPr>
          <w:p w14:paraId="17356645" w14:textId="77777777" w:rsidR="001E4568" w:rsidRPr="001E4568" w:rsidRDefault="001E4568" w:rsidP="00525540">
            <w:pPr>
              <w:jc w:val="both"/>
              <w:rPr>
                <w:rFonts w:ascii="Times New Roman" w:hAnsi="Times New Roman" w:cs="Times New Roman"/>
                <w:lang w:val="en-GB"/>
              </w:rPr>
            </w:pPr>
          </w:p>
        </w:tc>
        <w:tc>
          <w:tcPr>
            <w:tcW w:w="5615" w:type="dxa"/>
          </w:tcPr>
          <w:p w14:paraId="76A12B7F"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Ausbringung von mineralischen oder organischen Verbindungen zur Erhaltung oder Steigerung der Bodenfruchtbarkeit. In einigen Fällen (z. B. Kalkung) dient die Düngung auch der Verbesserung bestimmter Bodeneigenschaften (pH-Wert, Stabilität der Bodenstruktur).</w:t>
            </w:r>
          </w:p>
        </w:tc>
        <w:tc>
          <w:tcPr>
            <w:tcW w:w="616" w:type="dxa"/>
          </w:tcPr>
          <w:p w14:paraId="200E9D73"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51B6DEAA" w14:textId="77777777" w:rsidTr="2C6C7817">
        <w:tc>
          <w:tcPr>
            <w:tcW w:w="2062" w:type="dxa"/>
          </w:tcPr>
          <w:p w14:paraId="037E717D"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Edaphon</w:t>
            </w:r>
          </w:p>
        </w:tc>
        <w:tc>
          <w:tcPr>
            <w:tcW w:w="1469" w:type="dxa"/>
          </w:tcPr>
          <w:p w14:paraId="24D48794" w14:textId="77777777" w:rsidR="001E4568" w:rsidRPr="001E4568" w:rsidRDefault="001E4568" w:rsidP="002A67F8">
            <w:pPr>
              <w:jc w:val="both"/>
              <w:rPr>
                <w:rFonts w:ascii="Times New Roman" w:hAnsi="Times New Roman" w:cs="Times New Roman"/>
                <w:lang w:val="en-GB"/>
              </w:rPr>
            </w:pPr>
          </w:p>
        </w:tc>
        <w:tc>
          <w:tcPr>
            <w:tcW w:w="5615" w:type="dxa"/>
          </w:tcPr>
          <w:p w14:paraId="0861F0F7"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Die Gesamtheit der Bodenorganismen, z. B. Bakterien, Pilze, Nematoden, Regenwürmer, Insekten, Protozoen.</w:t>
            </w:r>
          </w:p>
        </w:tc>
        <w:tc>
          <w:tcPr>
            <w:tcW w:w="616" w:type="dxa"/>
          </w:tcPr>
          <w:p w14:paraId="3065F00D"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244AF24D" w14:textId="77777777" w:rsidTr="2C6C7817">
        <w:tc>
          <w:tcPr>
            <w:tcW w:w="2062" w:type="dxa"/>
          </w:tcPr>
          <w:p w14:paraId="6F890595"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Einbeziehende Methoden</w:t>
            </w:r>
          </w:p>
        </w:tc>
        <w:tc>
          <w:tcPr>
            <w:tcW w:w="1469" w:type="dxa"/>
          </w:tcPr>
          <w:p w14:paraId="76A81F8F" w14:textId="77777777" w:rsidR="001E4568" w:rsidRPr="001E4568" w:rsidRDefault="001E4568" w:rsidP="00A655ED">
            <w:pPr>
              <w:jc w:val="both"/>
              <w:rPr>
                <w:rFonts w:ascii="Times New Roman" w:hAnsi="Times New Roman" w:cs="Times New Roman"/>
                <w:lang w:val="en-GB"/>
              </w:rPr>
            </w:pPr>
          </w:p>
        </w:tc>
        <w:tc>
          <w:tcPr>
            <w:tcW w:w="5615" w:type="dxa"/>
          </w:tcPr>
          <w:p w14:paraId="2ACFA9A9"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Innovative Ansätze, die Teilnehmende aktiv in den Lernprozess bzw. Kommunikationsbemühungen einbeziehen. Diese Methoden sind darauf ausgerichtet, Interaktion, Zusammenarbeit und kritisches Denken zu fördern und so die Wirksamkeit von Bildungs- und Kommunikationsinitiativen zu verbessern. Sie zeichnen sich durch Interaktivität, Relevanz, Feedback-Mechanismen und den Einsatz von Technologie aus.</w:t>
            </w:r>
          </w:p>
        </w:tc>
        <w:tc>
          <w:tcPr>
            <w:tcW w:w="616" w:type="dxa"/>
          </w:tcPr>
          <w:p w14:paraId="7BAC83D8"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27</w:t>
            </w:r>
          </w:p>
        </w:tc>
      </w:tr>
      <w:tr w:rsidR="001E4568" w:rsidRPr="001E4568" w14:paraId="7D5E8121" w14:textId="77777777" w:rsidTr="2C6C7817">
        <w:tc>
          <w:tcPr>
            <w:tcW w:w="2062" w:type="dxa"/>
          </w:tcPr>
          <w:p w14:paraId="6A3E3F20"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Elektrische Leitfähigkeit</w:t>
            </w:r>
          </w:p>
        </w:tc>
        <w:tc>
          <w:tcPr>
            <w:tcW w:w="1469" w:type="dxa"/>
          </w:tcPr>
          <w:p w14:paraId="71088F94" w14:textId="77777777" w:rsidR="001E4568" w:rsidRPr="001E4568" w:rsidRDefault="001E4568" w:rsidP="002A67F8">
            <w:pPr>
              <w:jc w:val="both"/>
              <w:rPr>
                <w:rFonts w:ascii="Times New Roman" w:hAnsi="Times New Roman" w:cs="Times New Roman"/>
                <w:lang w:val="en-GB"/>
              </w:rPr>
            </w:pPr>
          </w:p>
        </w:tc>
        <w:tc>
          <w:tcPr>
            <w:tcW w:w="5615" w:type="dxa"/>
          </w:tcPr>
          <w:p w14:paraId="7079229D"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Maß für die Fähigkeit eines Materials, den Transport einer elektrischen Ladung zu ermöglichen. Sie wird als Maß für den Salzgehalt des Bodens und zur Abschätzung der praktischen Folgen für die Nutzpflanzen verwendet. Die elektrische Leitfähigkeit (EC für electrical conductivity) einer Bodensuspension bei einem bestimmten Boden-Wasser-Verhältnis (in der Regel 1:5 oder gesättigter Extrakt als Indikator für Bodenlösung) wird in Siemens pro m ausgedrückt.</w:t>
            </w:r>
          </w:p>
        </w:tc>
        <w:tc>
          <w:tcPr>
            <w:tcW w:w="616" w:type="dxa"/>
          </w:tcPr>
          <w:p w14:paraId="7231D8FE"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09691E4E" w14:textId="77777777" w:rsidTr="2C6C7817">
        <w:tc>
          <w:tcPr>
            <w:tcW w:w="2062" w:type="dxa"/>
          </w:tcPr>
          <w:p w14:paraId="2D8CCEBE"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Entwässerung (natürlich)</w:t>
            </w:r>
          </w:p>
        </w:tc>
        <w:tc>
          <w:tcPr>
            <w:tcW w:w="1469" w:type="dxa"/>
          </w:tcPr>
          <w:p w14:paraId="0DE41D54" w14:textId="77777777" w:rsidR="001E4568" w:rsidRPr="001E4568" w:rsidRDefault="001E4568" w:rsidP="002A67F8">
            <w:pPr>
              <w:jc w:val="both"/>
              <w:rPr>
                <w:rFonts w:ascii="Times New Roman" w:hAnsi="Times New Roman" w:cs="Times New Roman"/>
                <w:lang w:val="en-GB"/>
              </w:rPr>
            </w:pPr>
          </w:p>
        </w:tc>
        <w:tc>
          <w:tcPr>
            <w:tcW w:w="5615" w:type="dxa"/>
          </w:tcPr>
          <w:p w14:paraId="0345CBE1" w14:textId="77777777" w:rsidR="001E4568" w:rsidRPr="001E4568" w:rsidRDefault="001E4568" w:rsidP="002A67F8">
            <w:pPr>
              <w:jc w:val="both"/>
              <w:rPr>
                <w:rFonts w:ascii="Times New Roman" w:hAnsi="Times New Roman" w:cs="Times New Roman"/>
                <w:lang w:val="de-DE"/>
              </w:rPr>
            </w:pPr>
          </w:p>
          <w:p w14:paraId="27AB183C"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Die natürliche Fähigkeit des Bodenprofils, überschüssiges Wasser durch Versickerung abzuleiten, im Gegensatz zur künstlichen Entwässerung, die in der Regel durch ein System von Drainagen oder Gräben erfolgt.</w:t>
            </w:r>
          </w:p>
        </w:tc>
        <w:tc>
          <w:tcPr>
            <w:tcW w:w="616" w:type="dxa"/>
          </w:tcPr>
          <w:p w14:paraId="69CD70B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4B749B85" w14:textId="77777777" w:rsidTr="2C6C7817">
        <w:tc>
          <w:tcPr>
            <w:tcW w:w="2062" w:type="dxa"/>
          </w:tcPr>
          <w:p w14:paraId="20BC4E4F"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Erschöpfung</w:t>
            </w:r>
          </w:p>
        </w:tc>
        <w:tc>
          <w:tcPr>
            <w:tcW w:w="1469" w:type="dxa"/>
          </w:tcPr>
          <w:p w14:paraId="7314FA79" w14:textId="77777777" w:rsidR="001E4568" w:rsidRPr="001E4568" w:rsidRDefault="001E4568" w:rsidP="002A67F8">
            <w:pPr>
              <w:jc w:val="both"/>
              <w:rPr>
                <w:rFonts w:ascii="Times New Roman" w:hAnsi="Times New Roman" w:cs="Times New Roman"/>
                <w:lang w:val="en-GB"/>
              </w:rPr>
            </w:pPr>
          </w:p>
        </w:tc>
        <w:tc>
          <w:tcPr>
            <w:tcW w:w="5615" w:type="dxa"/>
          </w:tcPr>
          <w:p w14:paraId="06D9E2A1"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Der allmähliche Verlust der Reserven an Nährstoffen und organischer Substanz in Böden.</w:t>
            </w:r>
          </w:p>
        </w:tc>
        <w:tc>
          <w:tcPr>
            <w:tcW w:w="616" w:type="dxa"/>
          </w:tcPr>
          <w:p w14:paraId="6FD7F8E7"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306A8BEB" w14:textId="77777777" w:rsidTr="2C6C7817">
        <w:tc>
          <w:tcPr>
            <w:tcW w:w="2062" w:type="dxa"/>
          </w:tcPr>
          <w:p w14:paraId="537F22D8"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Eutrophierung</w:t>
            </w:r>
          </w:p>
        </w:tc>
        <w:tc>
          <w:tcPr>
            <w:tcW w:w="1469" w:type="dxa"/>
          </w:tcPr>
          <w:p w14:paraId="4F689707" w14:textId="77777777" w:rsidR="001E4568" w:rsidRPr="001E4568" w:rsidRDefault="001E4568" w:rsidP="002A67F8">
            <w:pPr>
              <w:jc w:val="both"/>
              <w:rPr>
                <w:rFonts w:ascii="Times New Roman" w:hAnsi="Times New Roman" w:cs="Times New Roman"/>
                <w:lang w:val="en-GB"/>
              </w:rPr>
            </w:pPr>
          </w:p>
        </w:tc>
        <w:tc>
          <w:tcPr>
            <w:tcW w:w="5615" w:type="dxa"/>
          </w:tcPr>
          <w:p w14:paraId="7A76CA38"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Prozess, durch den ein Wasserkörper, z. B. ein See oder eine Bodenlösung, mit gelösten Nährstoffen angereichert wird. Dies kann natürlich sein, ist aber häufig auf Verschmutzung zurückzuführen. Eutrophierung kann zu Algenblüten führen, die schließlich anaerobe Bedingungen begünstigen, die dem Fischbestand schaden können.</w:t>
            </w:r>
          </w:p>
        </w:tc>
        <w:tc>
          <w:tcPr>
            <w:tcW w:w="616" w:type="dxa"/>
          </w:tcPr>
          <w:p w14:paraId="3A38CF03"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0B0A558B" w14:textId="77777777" w:rsidTr="2C6C7817">
        <w:tc>
          <w:tcPr>
            <w:tcW w:w="2062" w:type="dxa"/>
          </w:tcPr>
          <w:p w14:paraId="02868A72"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Evapotranspiration</w:t>
            </w:r>
          </w:p>
        </w:tc>
        <w:tc>
          <w:tcPr>
            <w:tcW w:w="1469" w:type="dxa"/>
          </w:tcPr>
          <w:p w14:paraId="7E79E33E" w14:textId="77777777" w:rsidR="001E4568" w:rsidRPr="001E4568" w:rsidRDefault="001E4568" w:rsidP="002A67F8">
            <w:pPr>
              <w:jc w:val="both"/>
              <w:rPr>
                <w:rFonts w:ascii="Times New Roman" w:hAnsi="Times New Roman" w:cs="Times New Roman"/>
                <w:color w:val="3A7C22" w:themeColor="accent6" w:themeShade="BF"/>
                <w:lang w:val="en-GB"/>
              </w:rPr>
            </w:pPr>
          </w:p>
        </w:tc>
        <w:tc>
          <w:tcPr>
            <w:tcW w:w="5615" w:type="dxa"/>
          </w:tcPr>
          <w:p w14:paraId="250FCBB2"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Der Prozess, bei dem Wasser durch die Transpiration der Vegetation und die Verdunstung von Böden und Pflanzenoberflächen von einem flüssigen in einen dampfförmigen (gasförmigen) Zustand übergeht. Die Evapotranspirationsrate wird in der Regel in mm pro Tag¹ angegeben. Es kann zwischen der potenziellen Evapotranspiration bei unbegrenzter Verfügbarkeit von Wasser und der tatsächlichen Evapotranspiration bei begrenzter Verfügbarkeit unterschieden werden.</w:t>
            </w:r>
          </w:p>
        </w:tc>
        <w:tc>
          <w:tcPr>
            <w:tcW w:w="616" w:type="dxa"/>
          </w:tcPr>
          <w:p w14:paraId="6A06341E"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7C1F7E01" w14:textId="77777777" w:rsidTr="2C6C7817">
        <w:tc>
          <w:tcPr>
            <w:tcW w:w="2062" w:type="dxa"/>
          </w:tcPr>
          <w:p w14:paraId="26806587"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Extensivierung</w:t>
            </w:r>
          </w:p>
        </w:tc>
        <w:tc>
          <w:tcPr>
            <w:tcW w:w="1469" w:type="dxa"/>
          </w:tcPr>
          <w:p w14:paraId="26C3B014" w14:textId="77777777" w:rsidR="001E4568" w:rsidRPr="001E4568" w:rsidRDefault="001E4568" w:rsidP="002A67F8">
            <w:pPr>
              <w:jc w:val="both"/>
              <w:rPr>
                <w:rFonts w:ascii="Times New Roman" w:hAnsi="Times New Roman" w:cs="Times New Roman"/>
                <w:lang w:val="en-GB"/>
              </w:rPr>
            </w:pPr>
          </w:p>
        </w:tc>
        <w:tc>
          <w:tcPr>
            <w:tcW w:w="5615" w:type="dxa"/>
          </w:tcPr>
          <w:p w14:paraId="3C46C668"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 xml:space="preserve">Der Prozess der Verringerung des Einsatzes von Kapital und Betriebsmitteln (z. B. Düngemittel, Pestizide, Maschinen, Energie) im Verhältnis zur Landfläche. Durch eine Verringerung des Betriebsmitteleinsatzes pro Landfläche kann die Umweltbelastung gesenkt werden. Eine Abnahme des Pestizideinsatzes beispielsweise dürfte das Risiko des Abflusses von Pestiziden in Oberflächen- und Grundwasser </w:t>
            </w:r>
            <w:r w:rsidRPr="001E4568">
              <w:rPr>
                <w:rFonts w:ascii="Times New Roman" w:hAnsi="Times New Roman" w:cs="Times New Roman"/>
                <w:lang w:val="de"/>
              </w:rPr>
              <w:lastRenderedPageBreak/>
              <w:t>(„Verlost pro Flächeneinheit“) verringern. Die tatsächliche Auswirkung eines verringerten Einsatzes von Betriebsmitteln auf die Umwelt hängt jedoch nicht nur von der Menge der verwendeten Betriebsmittel ab, sondern auch davon, wie sie eingesetzt werden und inwieweit eine Verringerung der Betriebsmittel zu einer geringeren Produktion führt („Verlust pro Produktionseinheit“). Daher führt die Extensivierung nicht unbedingt zu einer umweltfreundlicheren Situation.</w:t>
            </w:r>
          </w:p>
        </w:tc>
        <w:tc>
          <w:tcPr>
            <w:tcW w:w="616" w:type="dxa"/>
          </w:tcPr>
          <w:p w14:paraId="02366724"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4</w:t>
            </w:r>
          </w:p>
        </w:tc>
      </w:tr>
      <w:tr w:rsidR="001E4568" w:rsidRPr="001E4568" w14:paraId="6DEA2ED7" w14:textId="77777777" w:rsidTr="2C6C7817">
        <w:tc>
          <w:tcPr>
            <w:tcW w:w="2062" w:type="dxa"/>
          </w:tcPr>
          <w:p w14:paraId="5F31F9D4"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Feldkapazität</w:t>
            </w:r>
          </w:p>
        </w:tc>
        <w:tc>
          <w:tcPr>
            <w:tcW w:w="1469" w:type="dxa"/>
          </w:tcPr>
          <w:p w14:paraId="1B4A288A" w14:textId="77777777" w:rsidR="001E4568" w:rsidRPr="001E4568" w:rsidRDefault="001E4568" w:rsidP="00525540">
            <w:pPr>
              <w:jc w:val="both"/>
              <w:rPr>
                <w:rFonts w:ascii="Times New Roman" w:hAnsi="Times New Roman" w:cs="Times New Roman"/>
                <w:lang w:val="en-GB"/>
              </w:rPr>
            </w:pPr>
          </w:p>
        </w:tc>
        <w:tc>
          <w:tcPr>
            <w:tcW w:w="5615" w:type="dxa"/>
          </w:tcPr>
          <w:p w14:paraId="0701E68A"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 xml:space="preserve">Der Feuchtigkeitszustand, bei dem ein Boden die maximale Wassermenge enthält, die er entgegen der Schwerkraft halten kann, und bei dem eine weitere Befeuchtung zur Entwässerung führt. Nach der Sättigung und nachdem das Sickerwasser oder freie Wasser abgeflossen ist, kehren die Böden in der Regel zur Feldkapazität zurück, wenn die Abwärtsbewegung des Wassers deutlich nachgelassen hat, in der Regel 1 bis 3 Tage nach Regen oder Bewässerung. Die Feldkapazität wird üblicherweise als Massen- oder Volumenanteil des Bodenwassers angegeben. </w:t>
            </w:r>
          </w:p>
        </w:tc>
        <w:tc>
          <w:tcPr>
            <w:tcW w:w="616" w:type="dxa"/>
          </w:tcPr>
          <w:p w14:paraId="6EF5FCA5"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2E565931" w14:textId="77777777" w:rsidTr="2C6C7817">
        <w:tc>
          <w:tcPr>
            <w:tcW w:w="2062" w:type="dxa"/>
          </w:tcPr>
          <w:p w14:paraId="4C13D355"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Funktionelles Landmanagement</w:t>
            </w:r>
          </w:p>
        </w:tc>
        <w:tc>
          <w:tcPr>
            <w:tcW w:w="1469" w:type="dxa"/>
          </w:tcPr>
          <w:p w14:paraId="2F9F4D01" w14:textId="77777777" w:rsidR="001E4568" w:rsidRPr="001E4568" w:rsidRDefault="001E4568" w:rsidP="00525540">
            <w:pPr>
              <w:jc w:val="both"/>
              <w:rPr>
                <w:rFonts w:ascii="Times New Roman" w:hAnsi="Times New Roman" w:cs="Times New Roman"/>
                <w:lang w:val="en-GB"/>
              </w:rPr>
            </w:pPr>
          </w:p>
        </w:tc>
        <w:tc>
          <w:tcPr>
            <w:tcW w:w="5615" w:type="dxa"/>
          </w:tcPr>
          <w:p w14:paraId="0D59F323"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Ein konzeptioneller Rahmen für die Optimierung des Angebots an Ökosystemleistungen auf der Grundlage von fünf wichtigen Bodenfunktionen auf verschiedenen räumlichen Ebenen, um gleichzeitig agrar- und umweltpolitische Ziele zu erreichen.</w:t>
            </w:r>
          </w:p>
          <w:p w14:paraId="4ED13C0A"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 xml:space="preserve">Weitere Informationen: Konzept der Bodenfunktionen </w:t>
            </w:r>
            <w:r w:rsidRPr="001E4568">
              <w:fldChar w:fldCharType="begin"/>
            </w:r>
            <w:r w:rsidRPr="001E4568">
              <w:rPr>
                <w:lang w:val="de-DE"/>
              </w:rPr>
              <w:instrText>HYPERLINK "http://landmarkproject.eu/soil-functions-concept/"</w:instrText>
            </w:r>
            <w:r w:rsidRPr="001E4568">
              <w:fldChar w:fldCharType="separate"/>
            </w:r>
            <w:r w:rsidRPr="001E4568">
              <w:rPr>
                <w:rStyle w:val="Hyperlink"/>
                <w:rFonts w:ascii="Times New Roman" w:hAnsi="Times New Roman" w:cs="Times New Roman"/>
                <w:lang w:val="de"/>
              </w:rPr>
              <w:t>http://landmarkproject.eu/soil-functions-concept/</w:t>
            </w:r>
            <w:r w:rsidRPr="001E4568">
              <w:fldChar w:fldCharType="end"/>
            </w:r>
            <w:r w:rsidRPr="001E4568">
              <w:rPr>
                <w:rFonts w:ascii="Times New Roman" w:hAnsi="Times New Roman" w:cs="Times New Roman"/>
                <w:lang w:val="de"/>
              </w:rPr>
              <w:t>.</w:t>
            </w:r>
          </w:p>
        </w:tc>
        <w:tc>
          <w:tcPr>
            <w:tcW w:w="616" w:type="dxa"/>
          </w:tcPr>
          <w:p w14:paraId="4BF9198F"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7793A880" w14:textId="77777777" w:rsidTr="2C6C7817">
        <w:tc>
          <w:tcPr>
            <w:tcW w:w="2062" w:type="dxa"/>
          </w:tcPr>
          <w:p w14:paraId="41A88943"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Ganzheitlicher Ansatz</w:t>
            </w:r>
          </w:p>
        </w:tc>
        <w:tc>
          <w:tcPr>
            <w:tcW w:w="1469" w:type="dxa"/>
          </w:tcPr>
          <w:p w14:paraId="79A6AEB8" w14:textId="77777777" w:rsidR="001E4568" w:rsidRPr="001E4568" w:rsidRDefault="001E4568" w:rsidP="00A655ED">
            <w:pPr>
              <w:jc w:val="both"/>
              <w:rPr>
                <w:rFonts w:ascii="Times New Roman" w:hAnsi="Times New Roman" w:cs="Times New Roman"/>
                <w:lang w:val="en-GB"/>
              </w:rPr>
            </w:pPr>
          </w:p>
        </w:tc>
        <w:tc>
          <w:tcPr>
            <w:tcW w:w="5615" w:type="dxa"/>
          </w:tcPr>
          <w:p w14:paraId="0A89D1D1"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 xml:space="preserve">Eine Methodik, die das gesamte System betrachtet, anstatt sich nur auf einzelne Komponenten zu konzentrieren. Dieser Ansatz betont die Verflechtung der verschiedenen Elemente eines Systems und berücksichtigt, dass Veränderungen in einem Bereich erhebliche Auswirkungen auf andere Bereiche haben können. Ein ganzheitlicher Ansatz integriert verschiedene Perspektiven und Fachgebiete, um ein umfassenderes Verständnis eines Problems und seines Kontextes zu ermöglichen. Diese Methodik fördert die Zusammenarbeit zwischen den Akteuren und unterstützt Lösungen, die über verschiedene Bereiche hinweg nachhaltig und effektiv sind. Sie wird häufig in Bereichen wie dem Gesundheitswesen, der Bildung, der Umweltwissenschaft und der Sozialpolitik angewandt. </w:t>
            </w:r>
          </w:p>
        </w:tc>
        <w:tc>
          <w:tcPr>
            <w:tcW w:w="616" w:type="dxa"/>
          </w:tcPr>
          <w:p w14:paraId="6442F3E6"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Loess</w:t>
            </w:r>
          </w:p>
        </w:tc>
      </w:tr>
      <w:tr w:rsidR="001E4568" w:rsidRPr="001E4568" w14:paraId="6E08015B" w14:textId="77777777" w:rsidTr="2C6C7817">
        <w:tc>
          <w:tcPr>
            <w:tcW w:w="2062" w:type="dxa"/>
          </w:tcPr>
          <w:p w14:paraId="76B4308E" w14:textId="77777777" w:rsidR="001E4568" w:rsidRPr="001E4568" w:rsidRDefault="001E4568" w:rsidP="00A655ED">
            <w:pPr>
              <w:rPr>
                <w:rFonts w:ascii="Times New Roman" w:hAnsi="Times New Roman" w:cs="Times New Roman"/>
                <w:b/>
                <w:color w:val="BF4E14" w:themeColor="accent2" w:themeShade="BF"/>
                <w:lang w:val="en-GB"/>
              </w:rPr>
            </w:pPr>
            <w:r w:rsidRPr="001E4568">
              <w:rPr>
                <w:rFonts w:ascii="Times New Roman" w:hAnsi="Times New Roman" w:cs="Times New Roman"/>
                <w:b/>
                <w:color w:val="3A7C22" w:themeColor="accent6" w:themeShade="BF"/>
                <w:lang w:val="de"/>
              </w:rPr>
              <w:t>Gesundheit des Planeten</w:t>
            </w:r>
          </w:p>
        </w:tc>
        <w:tc>
          <w:tcPr>
            <w:tcW w:w="1469" w:type="dxa"/>
          </w:tcPr>
          <w:p w14:paraId="79B7B3BD" w14:textId="77777777" w:rsidR="001E4568" w:rsidRPr="001E4568" w:rsidRDefault="001E4568" w:rsidP="00A655ED">
            <w:pPr>
              <w:jc w:val="both"/>
              <w:rPr>
                <w:rFonts w:ascii="Times New Roman" w:hAnsi="Times New Roman" w:cs="Times New Roman"/>
                <w:lang w:val="en-GB"/>
              </w:rPr>
            </w:pPr>
          </w:p>
        </w:tc>
        <w:tc>
          <w:tcPr>
            <w:tcW w:w="5615" w:type="dxa"/>
          </w:tcPr>
          <w:p w14:paraId="1777591E"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Für die Gesundheit des Planeten trägt der Boden zu mehreren wichtigen Prozessen bei, u. a. durch die Produktion von Biomasse, die Regulierung der Kohlenstoffressourcen, die Bereitstellung eines Lebensraums für 25 % der weltweiten Biodiversität, den Nährstoffkreislauf, von dem terrestrische Systeme abhängen, und den Wasserkreislauf. Die Verschlechterung der Bodenqualität schadet unmittelbar der Gesundheit des Planeten und verringert die Fähigkeit des Bodens, die Gesundheit künftiger Generationen zu fördern.</w:t>
            </w:r>
          </w:p>
        </w:tc>
        <w:tc>
          <w:tcPr>
            <w:tcW w:w="616" w:type="dxa"/>
          </w:tcPr>
          <w:p w14:paraId="58A28653"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12</w:t>
            </w:r>
          </w:p>
        </w:tc>
      </w:tr>
      <w:tr w:rsidR="001E4568" w:rsidRPr="001E4568" w14:paraId="7EBFCE66" w14:textId="77777777" w:rsidTr="2C6C7817">
        <w:tc>
          <w:tcPr>
            <w:tcW w:w="2062" w:type="dxa"/>
          </w:tcPr>
          <w:p w14:paraId="4428ECC8"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Gründüngung</w:t>
            </w:r>
          </w:p>
        </w:tc>
        <w:tc>
          <w:tcPr>
            <w:tcW w:w="1469" w:type="dxa"/>
          </w:tcPr>
          <w:p w14:paraId="71107DB5" w14:textId="77777777" w:rsidR="001E4568" w:rsidRPr="001E4568" w:rsidRDefault="001E4568" w:rsidP="00525540">
            <w:pPr>
              <w:jc w:val="both"/>
              <w:rPr>
                <w:rFonts w:ascii="Times New Roman" w:hAnsi="Times New Roman" w:cs="Times New Roman"/>
                <w:lang w:val="en-GB"/>
              </w:rPr>
            </w:pPr>
          </w:p>
        </w:tc>
        <w:tc>
          <w:tcPr>
            <w:tcW w:w="5615" w:type="dxa"/>
          </w:tcPr>
          <w:p w14:paraId="20B38CC8"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Nicht geerntete Nutzpflanzen, die zwischen zwei Hauptanbausaisons angebaut werden, um die Bodenfruchtbarkeit zu verbessern, und die im Allgemeinen aufgrund des Einsatzes von Düngemitteln und Mist oder der Fähigkeit, atmosphärischen Stickstoff zu binden, nicht unter Stickstoff (N)-Limitierung wachsen.</w:t>
            </w:r>
          </w:p>
        </w:tc>
        <w:tc>
          <w:tcPr>
            <w:tcW w:w="616" w:type="dxa"/>
          </w:tcPr>
          <w:p w14:paraId="232C8A3B"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15034819" w14:textId="77777777" w:rsidTr="2C6C7817">
        <w:tc>
          <w:tcPr>
            <w:tcW w:w="2062" w:type="dxa"/>
          </w:tcPr>
          <w:p w14:paraId="1F5E1E83"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lastRenderedPageBreak/>
              <w:t>Grundwasser</w:t>
            </w:r>
          </w:p>
        </w:tc>
        <w:tc>
          <w:tcPr>
            <w:tcW w:w="1469" w:type="dxa"/>
          </w:tcPr>
          <w:p w14:paraId="78C53A03" w14:textId="77777777" w:rsidR="001E4568" w:rsidRPr="001E4568" w:rsidRDefault="001E4568" w:rsidP="00525540">
            <w:pPr>
              <w:jc w:val="both"/>
              <w:rPr>
                <w:rFonts w:ascii="Times New Roman" w:hAnsi="Times New Roman" w:cs="Times New Roman"/>
                <w:lang w:val="en-GB"/>
              </w:rPr>
            </w:pPr>
          </w:p>
        </w:tc>
        <w:tc>
          <w:tcPr>
            <w:tcW w:w="5615" w:type="dxa"/>
          </w:tcPr>
          <w:p w14:paraId="414F8EA9"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Süßwasser, das sich unter der Erdoberfläche befindet und die Hohlräume der Erdkruste (Poren, Spalten im Boden, Sand und Gestein) zusammenhängend ausfüllt und Brunnen und Quellen versorgt, mit Ausnahme des Wassers in der vadosen (ungesättigten) Zone. Die Definition gilt für alle permanenten und temporären Wasservorkommen, die sowohl künstlich als auch natürlich entstanden sind und eine ausreichende Qualität für eine zumindest saisonale Nutzung aufweisen. Die Grundwasservorräte werden je nach den klimatischen Bedingungen durch Regen und Schneeschmelze aufgefüllt bzw. wieder aufgefüllt. Grundwasser kann in der Regel aus oder über eine unterirdische Formation gewonnen werden.</w:t>
            </w:r>
          </w:p>
        </w:tc>
        <w:tc>
          <w:tcPr>
            <w:tcW w:w="616" w:type="dxa"/>
          </w:tcPr>
          <w:p w14:paraId="2420AFC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0EBFB0F3" w14:textId="77777777" w:rsidTr="2C6C7817">
        <w:tc>
          <w:tcPr>
            <w:tcW w:w="2062" w:type="dxa"/>
          </w:tcPr>
          <w:p w14:paraId="39F19769"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Gülle</w:t>
            </w:r>
          </w:p>
        </w:tc>
        <w:tc>
          <w:tcPr>
            <w:tcW w:w="1469" w:type="dxa"/>
          </w:tcPr>
          <w:p w14:paraId="044A770F" w14:textId="77777777" w:rsidR="001E4568" w:rsidRPr="001E4568" w:rsidRDefault="001E4568" w:rsidP="00525540">
            <w:pPr>
              <w:jc w:val="both"/>
              <w:rPr>
                <w:rFonts w:ascii="Times New Roman" w:hAnsi="Times New Roman" w:cs="Times New Roman"/>
                <w:lang w:val="en-GB"/>
              </w:rPr>
            </w:pPr>
          </w:p>
        </w:tc>
        <w:tc>
          <w:tcPr>
            <w:tcW w:w="5615" w:type="dxa"/>
          </w:tcPr>
          <w:p w14:paraId="37C61ABF"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Gülle ist ein Gemisch aus Mist und Wasser, oft mit zusätzlichen organischen Stoffen, das eine halbflüssige Konsistenz hat. Es wird in der Regel in der Tierhaltung erzeugt, vor allem in Ställen oder auf engstem Raum, z. B. in Milchvieh-, Schweine- und Geflügelbetrieben. Gülle wird in der Regel aus den Stallungen gesammelt und in Tanks, Teichen oder Gruben gelagert, bevor sie als nährstoffreicher Dünger auf landwirtschaftliche Felder ausgebracht wird.</w:t>
            </w:r>
          </w:p>
        </w:tc>
        <w:tc>
          <w:tcPr>
            <w:tcW w:w="616" w:type="dxa"/>
          </w:tcPr>
          <w:p w14:paraId="45FCCFE0"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4, 42</w:t>
            </w:r>
          </w:p>
        </w:tc>
      </w:tr>
      <w:tr w:rsidR="001E4568" w:rsidRPr="001E4568" w14:paraId="5F77926C" w14:textId="77777777" w:rsidTr="2C6C7817">
        <w:tc>
          <w:tcPr>
            <w:tcW w:w="2062" w:type="dxa"/>
          </w:tcPr>
          <w:p w14:paraId="6AF41552"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Humifizierung</w:t>
            </w:r>
          </w:p>
        </w:tc>
        <w:tc>
          <w:tcPr>
            <w:tcW w:w="1469" w:type="dxa"/>
          </w:tcPr>
          <w:p w14:paraId="30E2C9B9" w14:textId="77777777" w:rsidR="001E4568" w:rsidRPr="001E4568" w:rsidRDefault="001E4568" w:rsidP="00525540">
            <w:pPr>
              <w:jc w:val="both"/>
              <w:rPr>
                <w:rFonts w:ascii="Times New Roman" w:hAnsi="Times New Roman" w:cs="Times New Roman"/>
                <w:lang w:val="en-GB"/>
              </w:rPr>
            </w:pPr>
          </w:p>
        </w:tc>
        <w:tc>
          <w:tcPr>
            <w:tcW w:w="5615" w:type="dxa"/>
          </w:tcPr>
          <w:p w14:paraId="07619D72"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Prozess, bei dem der Kohlenstoff der organischen Rückstände durch biochemische und abiotische Prozesse in Huminstoffe umgewandelt wird.</w:t>
            </w:r>
          </w:p>
        </w:tc>
        <w:tc>
          <w:tcPr>
            <w:tcW w:w="616" w:type="dxa"/>
          </w:tcPr>
          <w:p w14:paraId="46E1CCB8"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214BBC99" w14:textId="77777777" w:rsidTr="2C6C7817">
        <w:tc>
          <w:tcPr>
            <w:tcW w:w="2062" w:type="dxa"/>
          </w:tcPr>
          <w:p w14:paraId="09392270"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Humus</w:t>
            </w:r>
          </w:p>
        </w:tc>
        <w:tc>
          <w:tcPr>
            <w:tcW w:w="1469" w:type="dxa"/>
          </w:tcPr>
          <w:p w14:paraId="6FEAD70F" w14:textId="77777777" w:rsidR="001E4568" w:rsidRPr="001E4568" w:rsidRDefault="001E4568" w:rsidP="00525540">
            <w:pPr>
              <w:jc w:val="both"/>
              <w:rPr>
                <w:rFonts w:ascii="Times New Roman" w:hAnsi="Times New Roman" w:cs="Times New Roman"/>
                <w:lang w:val="en-GB"/>
              </w:rPr>
            </w:pPr>
          </w:p>
        </w:tc>
        <w:tc>
          <w:tcPr>
            <w:tcW w:w="5615" w:type="dxa"/>
          </w:tcPr>
          <w:p w14:paraId="1F495961"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dunkle, amorphe</w:t>
            </w:r>
            <w:r w:rsidRPr="001E4568">
              <w:rPr>
                <w:lang w:val="de"/>
              </w:rPr>
              <w:t xml:space="preserve"> </w:t>
            </w:r>
            <w:r w:rsidRPr="001E4568">
              <w:rPr>
                <w:rFonts w:ascii="Times New Roman" w:hAnsi="Times New Roman" w:cs="Times New Roman"/>
                <w:lang w:val="de"/>
              </w:rPr>
              <w:t>organische Komponente, die durch die Zersetzung von pflanzlichen und tierischen Rückständen durch Bodenmikroorganismen in mineralischen Böden entsteht und ein geringes spezifisches Gewicht und eine große Oberfläche aufweist; besteht in der Regel aus vielen organischen Verbindungen mit hohem Molekulargewicht. Dieser Begriff wird oft synonym mit organischer Bodensubstanz verwendet. Humus ist ein entscheidender Bestandteil gesunder Böden, ist für die Bodenfruchtbarkeit wichtig und trägt dazu bei, Bodenpartikel und -aggregate zu binden.</w:t>
            </w:r>
          </w:p>
        </w:tc>
        <w:tc>
          <w:tcPr>
            <w:tcW w:w="616" w:type="dxa"/>
          </w:tcPr>
          <w:p w14:paraId="5BF6ACB0"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3FDDCB84" w14:textId="77777777" w:rsidTr="2C6C7817">
        <w:tc>
          <w:tcPr>
            <w:tcW w:w="2062" w:type="dxa"/>
          </w:tcPr>
          <w:p w14:paraId="718EF932"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Immobilisierung</w:t>
            </w:r>
          </w:p>
        </w:tc>
        <w:tc>
          <w:tcPr>
            <w:tcW w:w="1469" w:type="dxa"/>
          </w:tcPr>
          <w:p w14:paraId="14FAD52C" w14:textId="77777777" w:rsidR="001E4568" w:rsidRPr="001E4568" w:rsidRDefault="001E4568" w:rsidP="00525540">
            <w:pPr>
              <w:jc w:val="both"/>
              <w:rPr>
                <w:rFonts w:ascii="Times New Roman" w:hAnsi="Times New Roman" w:cs="Times New Roman"/>
                <w:lang w:val="en-GB"/>
              </w:rPr>
            </w:pPr>
          </w:p>
        </w:tc>
        <w:tc>
          <w:tcPr>
            <w:tcW w:w="5615" w:type="dxa"/>
          </w:tcPr>
          <w:p w14:paraId="75D0C2F0"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Umwandlung von wasserlöslichen Elementen in organische Verbindungen durch Bodenbiota.</w:t>
            </w:r>
          </w:p>
          <w:p w14:paraId="64D355BD"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Prozess, bei dem Nährstoffe (Stickstoff, Phosphor und andere wichtige Elemente) durch Mikroorganismen im Boden vorübergehend von einer verfügbaren, wasserlöslichen anorganischen Form in eine nicht verfügbare organische Form umgewandelt werden. Dies geschieht, wenn Mikroorganismen diese Nährstoffe bei der Zersetzung organischer Stoffe in ihre Zellen und Gewebe einbauen, wodurch sie für Pflanzen vorübergehend unzugänglich werden.</w:t>
            </w:r>
          </w:p>
          <w:p w14:paraId="1A8D2AE0"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In verschmutzten Böden kann die Immobilisierung auch bedeuten, dass einige potenziell toxische Elemente unlöslich werden, was ein positives Phänomen ist, da es das Risiko der Verbreitung von Schadstoffen in der Umwelt und ihre mögliche Aufnahme durch Pflanzen verringert.</w:t>
            </w:r>
          </w:p>
        </w:tc>
        <w:tc>
          <w:tcPr>
            <w:tcW w:w="616" w:type="dxa"/>
          </w:tcPr>
          <w:p w14:paraId="34B2867A"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 45</w:t>
            </w:r>
          </w:p>
        </w:tc>
      </w:tr>
      <w:tr w:rsidR="001E4568" w:rsidRPr="001E4568" w14:paraId="3EAD92C3" w14:textId="77777777" w:rsidTr="2C6C7817">
        <w:tc>
          <w:tcPr>
            <w:tcW w:w="2062" w:type="dxa"/>
          </w:tcPr>
          <w:p w14:paraId="3AD54E96"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Infiltration</w:t>
            </w:r>
          </w:p>
        </w:tc>
        <w:tc>
          <w:tcPr>
            <w:tcW w:w="1469" w:type="dxa"/>
          </w:tcPr>
          <w:p w14:paraId="24349CD9" w14:textId="77777777" w:rsidR="001E4568" w:rsidRPr="001E4568" w:rsidRDefault="001E4568" w:rsidP="00525540">
            <w:pPr>
              <w:jc w:val="both"/>
              <w:rPr>
                <w:rFonts w:ascii="Times New Roman" w:hAnsi="Times New Roman" w:cs="Times New Roman"/>
                <w:lang w:val="en-GB"/>
              </w:rPr>
            </w:pPr>
          </w:p>
        </w:tc>
        <w:tc>
          <w:tcPr>
            <w:tcW w:w="5615" w:type="dxa"/>
          </w:tcPr>
          <w:p w14:paraId="1171E7D5"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Bewegung von Wasser, das die Bodenoberfläche passiert und in den Boden eindringt (im Gegensatz zur Versickerung, bei der das Wasser durch das Bodenprofil (Horizonte) in die Grundwasserleiter fließt).</w:t>
            </w:r>
          </w:p>
        </w:tc>
        <w:tc>
          <w:tcPr>
            <w:tcW w:w="616" w:type="dxa"/>
          </w:tcPr>
          <w:p w14:paraId="59D7964B"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041D1F47" w14:textId="77777777" w:rsidTr="2C6C7817">
        <w:tc>
          <w:tcPr>
            <w:tcW w:w="2062" w:type="dxa"/>
          </w:tcPr>
          <w:p w14:paraId="23E422AD"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lastRenderedPageBreak/>
              <w:t>Intensivierung</w:t>
            </w:r>
          </w:p>
        </w:tc>
        <w:tc>
          <w:tcPr>
            <w:tcW w:w="1469" w:type="dxa"/>
          </w:tcPr>
          <w:p w14:paraId="0213068A" w14:textId="77777777" w:rsidR="001E4568" w:rsidRPr="001E4568" w:rsidRDefault="001E4568" w:rsidP="00525540">
            <w:pPr>
              <w:jc w:val="both"/>
              <w:rPr>
                <w:rFonts w:ascii="Times New Roman" w:hAnsi="Times New Roman" w:cs="Times New Roman"/>
                <w:lang w:val="en-GB"/>
              </w:rPr>
            </w:pPr>
          </w:p>
        </w:tc>
        <w:tc>
          <w:tcPr>
            <w:tcW w:w="5615" w:type="dxa"/>
          </w:tcPr>
          <w:p w14:paraId="2EEE9EBF"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Der Prozess der Steigerung des Einsatzes von Betriebsmitteln (Arbeit, Informationen, Energie, Düngemittel, Pestizide, Maschinen) im Verhältnis zur Landfläche, um die landwirtschaftliche Produktion pro Flächeneinheit zu erhöhen. Die Intensivierung kann den Druck auf die Umwelt erhöhen, wenn sie aus einer undifferenzierten Zunahme des Einsatzes von Betriebsmitteln besteht, ohne dass damit ein höherer Managementaufwand verbunden ist. Ein verstärkter Einsatz von Düngemitteln und Pestiziden kann beispielsweise das Risiko des Abflusses von Nährstoffen und Pestiziden in Oberflächen- und Grundwasser erhöhen („Verlust pro Flächeneinheit“). Die tatsächliche Auswirkung des Einsatzes von Betriebsmitteln auf die Umwelt hängt jedoch nicht nur von der Menge der verwendeten Betriebsmittel ab, sondern auch davon, wie sie eingesetzt werden und in welchem Umfang sie zur Produktionssteigerung beitragen („Verlust pro Produktionseinheit“). Daher muss eine Intensivierung nicht unbedingt zu einer Schädigung der Umwelt führen.</w:t>
            </w:r>
          </w:p>
        </w:tc>
        <w:tc>
          <w:tcPr>
            <w:tcW w:w="616" w:type="dxa"/>
          </w:tcPr>
          <w:p w14:paraId="134CCB3A"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28D3C7F3" w14:textId="77777777" w:rsidTr="2C6C7817">
        <w:tc>
          <w:tcPr>
            <w:tcW w:w="2062" w:type="dxa"/>
          </w:tcPr>
          <w:p w14:paraId="6C45AAE7"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Kationenaustauschkapazität (KAK)</w:t>
            </w:r>
          </w:p>
        </w:tc>
        <w:tc>
          <w:tcPr>
            <w:tcW w:w="1469" w:type="dxa"/>
          </w:tcPr>
          <w:p w14:paraId="47BA3E07" w14:textId="77777777" w:rsidR="001E4568" w:rsidRPr="001E4568" w:rsidRDefault="001E4568" w:rsidP="002A67F8">
            <w:pPr>
              <w:jc w:val="both"/>
              <w:rPr>
                <w:rFonts w:ascii="Times New Roman" w:hAnsi="Times New Roman" w:cs="Times New Roman"/>
                <w:lang w:val="en-GB"/>
              </w:rPr>
            </w:pPr>
          </w:p>
        </w:tc>
        <w:tc>
          <w:tcPr>
            <w:tcW w:w="5615" w:type="dxa"/>
          </w:tcPr>
          <w:p w14:paraId="4EEA71C7"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Die Fähigkeit des Bodens, Nährstoffe für Pflanzen zu speichern. KAK ist die Menge an negativer Ladung, die auf Tonmineralien und Bodenhumus vorhanden ist, um positiv geladene Ionen zu halten. Die effektive Kationenaustauschkapazität (KAKeff) wird für saure Böden (pH &lt; 5) angegeben. Sie wird ausgedrückt in Zentimol Ladung pro Kilogramm Boden (cmolc/kg).</w:t>
            </w:r>
          </w:p>
        </w:tc>
        <w:tc>
          <w:tcPr>
            <w:tcW w:w="616" w:type="dxa"/>
          </w:tcPr>
          <w:p w14:paraId="131BB3F7"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2A05F1FC" w14:textId="77777777" w:rsidTr="2C6C7817">
        <w:tc>
          <w:tcPr>
            <w:tcW w:w="2062" w:type="dxa"/>
          </w:tcPr>
          <w:p w14:paraId="5FAA781D"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Kohlenstoffbindung im Boden</w:t>
            </w:r>
          </w:p>
        </w:tc>
        <w:tc>
          <w:tcPr>
            <w:tcW w:w="1469" w:type="dxa"/>
          </w:tcPr>
          <w:p w14:paraId="29CECB46" w14:textId="77777777" w:rsidR="001E4568" w:rsidRPr="001E4568" w:rsidRDefault="001E4568" w:rsidP="00525540">
            <w:pPr>
              <w:jc w:val="both"/>
              <w:rPr>
                <w:rFonts w:ascii="Times New Roman" w:hAnsi="Times New Roman" w:cs="Times New Roman"/>
                <w:lang w:val="en-GB"/>
              </w:rPr>
            </w:pPr>
          </w:p>
        </w:tc>
        <w:tc>
          <w:tcPr>
            <w:tcW w:w="5615" w:type="dxa"/>
          </w:tcPr>
          <w:p w14:paraId="7D5914FE"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Fähigkeit eines Bodens, Kohlenstoff in einer nicht labilen Form zu speichern, mit dem Ziel, die CO</w:t>
            </w:r>
            <w:r w:rsidRPr="001E4568">
              <w:rPr>
                <w:rFonts w:ascii="Times New Roman" w:hAnsi="Times New Roman" w:cs="Times New Roman"/>
                <w:vertAlign w:val="subscript"/>
                <w:lang w:val="de"/>
              </w:rPr>
              <w:t>2</w:t>
            </w:r>
            <w:r w:rsidRPr="001E4568">
              <w:rPr>
                <w:rFonts w:ascii="Times New Roman" w:hAnsi="Times New Roman" w:cs="Times New Roman"/>
                <w:lang w:val="de"/>
              </w:rPr>
              <w:t>-Konzentration in der Atmosphäre zu verringern.</w:t>
            </w:r>
          </w:p>
        </w:tc>
        <w:tc>
          <w:tcPr>
            <w:tcW w:w="616" w:type="dxa"/>
          </w:tcPr>
          <w:p w14:paraId="5D8748EF"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1BFA1348" w14:textId="77777777" w:rsidTr="2C6C7817">
        <w:tc>
          <w:tcPr>
            <w:tcW w:w="2062" w:type="dxa"/>
          </w:tcPr>
          <w:p w14:paraId="41211F5F"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Kohlenstoffkreislauf</w:t>
            </w:r>
          </w:p>
        </w:tc>
        <w:tc>
          <w:tcPr>
            <w:tcW w:w="1469" w:type="dxa"/>
          </w:tcPr>
          <w:p w14:paraId="2EBD5CA6" w14:textId="77777777" w:rsidR="001E4568" w:rsidRPr="001E4568" w:rsidRDefault="001E4568" w:rsidP="002A67F8">
            <w:pPr>
              <w:jc w:val="both"/>
              <w:rPr>
                <w:rFonts w:ascii="Times New Roman" w:hAnsi="Times New Roman" w:cs="Times New Roman"/>
                <w:lang w:val="en-GB"/>
              </w:rPr>
            </w:pPr>
          </w:p>
        </w:tc>
        <w:tc>
          <w:tcPr>
            <w:tcW w:w="5615" w:type="dxa"/>
          </w:tcPr>
          <w:p w14:paraId="31981DAE"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Abfolge von Transformationen, bei denen Kohlendioxid durch Photosynthese oder Chemosynthese in organische Formen umgewandelt, durch die Biosphäre (mit teilweiser Aufnahme in Sedimente) recycelt und schließlich durch Atmung oder Verbrennung in seinen ursprünglichen Zustand zurückgeführt wird.</w:t>
            </w:r>
          </w:p>
        </w:tc>
        <w:tc>
          <w:tcPr>
            <w:tcW w:w="616" w:type="dxa"/>
          </w:tcPr>
          <w:p w14:paraId="33B759BA"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7BC58A89" w14:textId="77777777" w:rsidTr="2C6C7817">
        <w:tc>
          <w:tcPr>
            <w:tcW w:w="2062" w:type="dxa"/>
          </w:tcPr>
          <w:p w14:paraId="63C27B69"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Kohlenstoffmanagement im Boden</w:t>
            </w:r>
          </w:p>
        </w:tc>
        <w:tc>
          <w:tcPr>
            <w:tcW w:w="1469" w:type="dxa"/>
          </w:tcPr>
          <w:p w14:paraId="37054536" w14:textId="77777777" w:rsidR="001E4568" w:rsidRPr="001E4568" w:rsidRDefault="001E4568" w:rsidP="002A67F8">
            <w:pPr>
              <w:jc w:val="both"/>
              <w:rPr>
                <w:rFonts w:ascii="Times New Roman" w:hAnsi="Times New Roman" w:cs="Times New Roman"/>
                <w:lang w:val="en-GB"/>
              </w:rPr>
            </w:pPr>
          </w:p>
        </w:tc>
        <w:tc>
          <w:tcPr>
            <w:tcW w:w="5615" w:type="dxa"/>
          </w:tcPr>
          <w:p w14:paraId="603CE8D4" w14:textId="77777777" w:rsidR="001E4568" w:rsidRPr="001E4568" w:rsidRDefault="001E4568" w:rsidP="006A5BAB">
            <w:pPr>
              <w:jc w:val="both"/>
              <w:rPr>
                <w:rFonts w:ascii="Times New Roman" w:hAnsi="Times New Roman" w:cs="Times New Roman"/>
                <w:lang w:val="de-DE"/>
              </w:rPr>
            </w:pPr>
            <w:r w:rsidRPr="001E4568" w:rsidDel="006A5BAB">
              <w:rPr>
                <w:rFonts w:ascii="Times New Roman" w:hAnsi="Times New Roman" w:cs="Times New Roman"/>
                <w:lang w:val="de"/>
              </w:rPr>
              <w:t xml:space="preserve"> Verfahren und Strategien, die darauf abzielen, die Menge des in den Böden gespeicherten Kohlenstoffs, hauptsächlich in Form von organischem Material, zu erhalten oder zu erhöhen. Dieser Prozess ist entscheidend für die Verbesserung der Bodengesundheit, die Steigerung der landwirtschaftlichen Produktivität und die Abschwächung des Klimawandels durch die Bindung von atmosphärischem Kohlendioxid (CO₂). Das Management des Kohlenstoffs im Boden verbessert die Bodenfruchtbarkeit, die Wasserrückhaltung und die Biodiversität und trägt durch die Bindung und Speicherung von CO₂ zur Abschwächung des Klimawandels bei. Das Kohlenstoffmanagement spielt eine wichtige Rolle für die nachhaltige Landwirtschaft und die Resilienz der Ökosysteme.</w:t>
            </w:r>
          </w:p>
          <w:p w14:paraId="1BBD0068" w14:textId="77777777" w:rsidR="001E4568" w:rsidRPr="001E4568" w:rsidRDefault="001E4568" w:rsidP="006A5BAB">
            <w:pPr>
              <w:jc w:val="both"/>
              <w:rPr>
                <w:rFonts w:ascii="Times New Roman" w:hAnsi="Times New Roman" w:cs="Times New Roman"/>
                <w:lang w:val="de-DE"/>
              </w:rPr>
            </w:pPr>
            <w:r w:rsidRPr="001E4568">
              <w:rPr>
                <w:rFonts w:ascii="Times New Roman" w:hAnsi="Times New Roman" w:cs="Times New Roman"/>
                <w:lang w:val="de"/>
              </w:rPr>
              <w:t>Zu den wichtigsten Verfahren gehören konservierende Bodenbearbeitung, Fruchtfolge und Diversifizierung, Deckfruchtanbau, Agroforstwirtschaft und Wiederherstellung geschädigter Böden.</w:t>
            </w:r>
          </w:p>
        </w:tc>
        <w:tc>
          <w:tcPr>
            <w:tcW w:w="616" w:type="dxa"/>
          </w:tcPr>
          <w:p w14:paraId="3CC5652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2, 40</w:t>
            </w:r>
          </w:p>
        </w:tc>
      </w:tr>
      <w:tr w:rsidR="001E4568" w:rsidRPr="001E4568" w14:paraId="6B5A5959" w14:textId="77777777" w:rsidTr="2C6C7817">
        <w:tc>
          <w:tcPr>
            <w:tcW w:w="2062" w:type="dxa"/>
          </w:tcPr>
          <w:p w14:paraId="6460AB05"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Kompost</w:t>
            </w:r>
          </w:p>
        </w:tc>
        <w:tc>
          <w:tcPr>
            <w:tcW w:w="1469" w:type="dxa"/>
          </w:tcPr>
          <w:p w14:paraId="6B8DC564" w14:textId="77777777" w:rsidR="001E4568" w:rsidRPr="001E4568" w:rsidRDefault="001E4568" w:rsidP="002A67F8">
            <w:pPr>
              <w:jc w:val="both"/>
              <w:rPr>
                <w:rFonts w:ascii="Times New Roman" w:hAnsi="Times New Roman" w:cs="Times New Roman"/>
                <w:lang w:val="en-GB"/>
              </w:rPr>
            </w:pPr>
          </w:p>
        </w:tc>
        <w:tc>
          <w:tcPr>
            <w:tcW w:w="5615" w:type="dxa"/>
          </w:tcPr>
          <w:p w14:paraId="38DA80B8"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Das Material, mit dem einem Boden organische Stoffe oder Pflanzennährstoffe zugeführt werden und das bei der Kompostierung entsteht.</w:t>
            </w:r>
          </w:p>
        </w:tc>
        <w:tc>
          <w:tcPr>
            <w:tcW w:w="616" w:type="dxa"/>
          </w:tcPr>
          <w:p w14:paraId="3188E232"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03C3DF0D" w14:textId="77777777" w:rsidTr="2C6C7817">
        <w:tc>
          <w:tcPr>
            <w:tcW w:w="2062" w:type="dxa"/>
          </w:tcPr>
          <w:p w14:paraId="0422AC96"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lastRenderedPageBreak/>
              <w:t>Kompostierung</w:t>
            </w:r>
          </w:p>
        </w:tc>
        <w:tc>
          <w:tcPr>
            <w:tcW w:w="1469" w:type="dxa"/>
          </w:tcPr>
          <w:p w14:paraId="4143B6B5" w14:textId="77777777" w:rsidR="001E4568" w:rsidRPr="001E4568" w:rsidRDefault="001E4568" w:rsidP="002A67F8">
            <w:pPr>
              <w:jc w:val="both"/>
              <w:rPr>
                <w:rFonts w:ascii="Times New Roman" w:hAnsi="Times New Roman" w:cs="Times New Roman"/>
                <w:lang w:val="en-GB"/>
              </w:rPr>
            </w:pPr>
          </w:p>
        </w:tc>
        <w:tc>
          <w:tcPr>
            <w:tcW w:w="5615" w:type="dxa"/>
          </w:tcPr>
          <w:p w14:paraId="5DC50AC7"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Die aerobe mikrobielle Zersetzung von organischen Materialien wie landwirtschaftlichen Abfällen, organischen Siedlungsabfällen und Mährückständen. Dieser Prozess wird in der Regel durch regelmäßiges Wenden und Belüften der organischen Biomasse erreicht, die in Haufen mit einer Geometrie gelagert wird, welche eine effektive Belüftung fördert. Bei dieser Transformation werden die am leichtesten abbaubaren organischen Fraktionen oxidiert und in stabile organische Stoffe umgewandelt, die in der Landwirtschaft als Düngemittel und für die biologische Bekämpfung eingesetzt werden können. Je nach dem für die Kompostierung verwendeten Ausgangsmaterial können Risiken bestehen, z. B. die Verunreinigung mit Mikroplastik im Hausmüll, was bei landwirtschaftlichen Anwendungen Vorsicht erfordert. Durch den begleitenden Wasserverlust kann das Produkt weniger voluminös und durch eine Homogenisierung auch besser handhabbar werden.</w:t>
            </w:r>
          </w:p>
          <w:p w14:paraId="6B3B6A01"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Zusätzlich zu diesen Vorteilen trägt die Kompostierung dazu bei, die anfängliche Phytotoxizität der verwendeten organischen Stoffe zu verringern, die Stoffe zu desinfizieren und die Keimfähigkeit von Unkrautsamen zu reduzieren.</w:t>
            </w:r>
          </w:p>
        </w:tc>
        <w:tc>
          <w:tcPr>
            <w:tcW w:w="616" w:type="dxa"/>
          </w:tcPr>
          <w:p w14:paraId="615E8FEA"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1, 3</w:t>
            </w:r>
          </w:p>
        </w:tc>
      </w:tr>
      <w:tr w:rsidR="001E4568" w:rsidRPr="001E4568" w14:paraId="197DE168" w14:textId="77777777" w:rsidTr="2C6C7817">
        <w:tc>
          <w:tcPr>
            <w:tcW w:w="2062" w:type="dxa"/>
          </w:tcPr>
          <w:p w14:paraId="0C509D70"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Konservierende Landwirtschaft</w:t>
            </w:r>
          </w:p>
        </w:tc>
        <w:tc>
          <w:tcPr>
            <w:tcW w:w="1469" w:type="dxa"/>
          </w:tcPr>
          <w:p w14:paraId="0BB48F82" w14:textId="77777777" w:rsidR="001E4568" w:rsidRPr="001E4568" w:rsidRDefault="001E4568" w:rsidP="002A67F8">
            <w:pPr>
              <w:jc w:val="both"/>
              <w:rPr>
                <w:rFonts w:ascii="Times New Roman" w:hAnsi="Times New Roman" w:cs="Times New Roman"/>
                <w:lang w:val="en-GB"/>
              </w:rPr>
            </w:pPr>
          </w:p>
        </w:tc>
        <w:tc>
          <w:tcPr>
            <w:tcW w:w="5615" w:type="dxa"/>
          </w:tcPr>
          <w:p w14:paraId="28F21C16"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Eine Anbaumethode mit minimaler Bodenbeeinflussung (keine Bodenbearbeitung, minimale Bodenbearbeitung, reduzierte Bodenbearbeitung, Streifenbearbeitung, Direktsaat), Fruchtfolge und permanenter Bodenbedeckung (</w:t>
            </w:r>
            <w:r w:rsidRPr="001E4568">
              <w:fldChar w:fldCharType="begin"/>
            </w:r>
            <w:r w:rsidRPr="001E4568">
              <w:rPr>
                <w:lang w:val="de-DE"/>
              </w:rPr>
              <w:instrText>HYPERLINK "http://www.fao.org/ag/ca/"</w:instrText>
            </w:r>
            <w:r w:rsidRPr="001E4568">
              <w:fldChar w:fldCharType="separate"/>
            </w:r>
            <w:r w:rsidRPr="001E4568">
              <w:rPr>
                <w:rStyle w:val="Hyperlink"/>
                <w:rFonts w:ascii="Times New Roman" w:hAnsi="Times New Roman" w:cs="Times New Roman"/>
                <w:lang w:val="de"/>
              </w:rPr>
              <w:t>http://www.fao.org/ag/ca/</w:t>
            </w:r>
            <w:r w:rsidRPr="001E4568">
              <w:fldChar w:fldCharType="end"/>
            </w:r>
            <w:r w:rsidRPr="001E4568">
              <w:rPr>
                <w:rFonts w:ascii="Times New Roman" w:hAnsi="Times New Roman" w:cs="Times New Roman"/>
                <w:lang w:val="de"/>
              </w:rPr>
              <w:t>).</w:t>
            </w:r>
          </w:p>
        </w:tc>
        <w:tc>
          <w:tcPr>
            <w:tcW w:w="616" w:type="dxa"/>
          </w:tcPr>
          <w:p w14:paraId="6B2C31C2"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2BE0628D" w14:textId="77777777" w:rsidTr="2C6C7817">
        <w:tc>
          <w:tcPr>
            <w:tcW w:w="2062" w:type="dxa"/>
          </w:tcPr>
          <w:p w14:paraId="0D3D0510"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Kontrollierter Verkehr</w:t>
            </w:r>
          </w:p>
        </w:tc>
        <w:tc>
          <w:tcPr>
            <w:tcW w:w="1469" w:type="dxa"/>
          </w:tcPr>
          <w:p w14:paraId="78F7E5B7" w14:textId="77777777" w:rsidR="001E4568" w:rsidRPr="001E4568" w:rsidRDefault="001E4568" w:rsidP="002A67F8">
            <w:pPr>
              <w:jc w:val="both"/>
              <w:rPr>
                <w:rFonts w:ascii="Times New Roman" w:hAnsi="Times New Roman" w:cs="Times New Roman"/>
                <w:lang w:val="en-GB"/>
              </w:rPr>
            </w:pPr>
          </w:p>
        </w:tc>
        <w:tc>
          <w:tcPr>
            <w:tcW w:w="5615" w:type="dxa"/>
          </w:tcPr>
          <w:p w14:paraId="59349271"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Verwendung derselben Fahrspuren durch Maschinen für verschiedene Anwendungen innerhalb eines Jahres und derselben Fahrspuren über mehrere Jahre hinweg, in der Regel mit Unterstützung eines Satellitennavigationssystems, um die Bodenverdichtung zu verringern.</w:t>
            </w:r>
          </w:p>
        </w:tc>
        <w:tc>
          <w:tcPr>
            <w:tcW w:w="616" w:type="dxa"/>
          </w:tcPr>
          <w:p w14:paraId="50E2E7B8"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464F8B73" w14:textId="77777777" w:rsidTr="2C6C7817">
        <w:tc>
          <w:tcPr>
            <w:tcW w:w="2062" w:type="dxa"/>
          </w:tcPr>
          <w:p w14:paraId="5A31737E"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Konventionelle Landwirtschaft</w:t>
            </w:r>
          </w:p>
        </w:tc>
        <w:tc>
          <w:tcPr>
            <w:tcW w:w="1469" w:type="dxa"/>
          </w:tcPr>
          <w:p w14:paraId="3628926C" w14:textId="77777777" w:rsidR="001E4568" w:rsidRPr="001E4568" w:rsidRDefault="001E4568" w:rsidP="002A67F8">
            <w:pPr>
              <w:jc w:val="both"/>
              <w:rPr>
                <w:rFonts w:ascii="Times New Roman" w:hAnsi="Times New Roman" w:cs="Times New Roman"/>
                <w:lang w:val="en-GB"/>
              </w:rPr>
            </w:pPr>
          </w:p>
        </w:tc>
        <w:tc>
          <w:tcPr>
            <w:tcW w:w="5615" w:type="dxa"/>
          </w:tcPr>
          <w:p w14:paraId="4D86176B"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Eine landwirtschaftliche Methode, die den Einsatz von chemisch-synthetischen Düngemitteln, Pestiziden und Herbiziden (und manchmal auch gentechnisch veränderten Organismen) beinhaltet, um die Ernteerträge zu maximieren, sodass diese Art von Betrieben weniger abhängig von kulturellen (Fruchtfolge, Einbeziehung von Pflanzen, die atmosphärischen Stickstoff binden), biologischen und mechanischen Verfahren sind, die den Kreislauf der Ressourcen fördern, das ökologische Gleichgewicht unterstützen und die Biodiversität erhalten. Oft handelt es sich um groß angelegte Monokulturen (Anbau einer einzigen Nutzpflanze auf einer großen Fläche) und mechanisierte Verfahren zur Rationalisierung des Betriebs und zur Senkung der Arbeitskosten.</w:t>
            </w:r>
          </w:p>
        </w:tc>
        <w:tc>
          <w:tcPr>
            <w:tcW w:w="616" w:type="dxa"/>
          </w:tcPr>
          <w:p w14:paraId="2C3D4A13"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4, 44</w:t>
            </w:r>
          </w:p>
        </w:tc>
      </w:tr>
      <w:tr w:rsidR="001E4568" w:rsidRPr="001E4568" w14:paraId="1A263266" w14:textId="77777777" w:rsidTr="2C6C7817">
        <w:tc>
          <w:tcPr>
            <w:tcW w:w="2062" w:type="dxa"/>
          </w:tcPr>
          <w:p w14:paraId="74A59EBB"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Landgesundheit</w:t>
            </w:r>
          </w:p>
        </w:tc>
        <w:tc>
          <w:tcPr>
            <w:tcW w:w="1469" w:type="dxa"/>
          </w:tcPr>
          <w:p w14:paraId="10C7519D" w14:textId="77777777" w:rsidR="001E4568" w:rsidRPr="001E4568" w:rsidRDefault="001E4568" w:rsidP="00525540">
            <w:pPr>
              <w:jc w:val="both"/>
              <w:rPr>
                <w:rFonts w:ascii="Times New Roman" w:hAnsi="Times New Roman" w:cs="Times New Roman"/>
                <w:lang w:val="en-GB"/>
              </w:rPr>
            </w:pPr>
          </w:p>
        </w:tc>
        <w:tc>
          <w:tcPr>
            <w:tcW w:w="5615" w:type="dxa"/>
          </w:tcPr>
          <w:p w14:paraId="4992BA3E"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Fähigkeit des Bodens, im Verhältnis zu seinem Potenzial, die Bereitstellung von Ökosystemleistungen aufrechtzuerhalten.</w:t>
            </w:r>
          </w:p>
        </w:tc>
        <w:tc>
          <w:tcPr>
            <w:tcW w:w="616" w:type="dxa"/>
          </w:tcPr>
          <w:p w14:paraId="1CFFBDEF"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2E783701" w14:textId="77777777" w:rsidTr="2C6C7817">
        <w:tc>
          <w:tcPr>
            <w:tcW w:w="2062" w:type="dxa"/>
          </w:tcPr>
          <w:p w14:paraId="46682BDA" w14:textId="77777777" w:rsidR="001E4568" w:rsidRPr="001E4568" w:rsidRDefault="001E4568" w:rsidP="00A655ED">
            <w:pPr>
              <w:rPr>
                <w:rFonts w:ascii="Times New Roman" w:hAnsi="Times New Roman" w:cs="Times New Roman"/>
                <w:b/>
                <w:color w:val="BF4E14" w:themeColor="accent2" w:themeShade="BF"/>
                <w:lang w:val="en-GB"/>
              </w:rPr>
            </w:pPr>
            <w:r w:rsidRPr="001E4568">
              <w:rPr>
                <w:rFonts w:ascii="Times New Roman" w:hAnsi="Times New Roman" w:cs="Times New Roman"/>
                <w:b/>
                <w:color w:val="3A7C22" w:themeColor="accent6" w:themeShade="BF"/>
                <w:lang w:val="de"/>
              </w:rPr>
              <w:t>Landgrabbing</w:t>
            </w:r>
          </w:p>
        </w:tc>
        <w:tc>
          <w:tcPr>
            <w:tcW w:w="1469" w:type="dxa"/>
          </w:tcPr>
          <w:p w14:paraId="256717E6" w14:textId="77777777" w:rsidR="001E4568" w:rsidRPr="001E4568" w:rsidRDefault="001E4568" w:rsidP="00A655ED">
            <w:pPr>
              <w:jc w:val="both"/>
              <w:rPr>
                <w:rFonts w:ascii="Times New Roman" w:hAnsi="Times New Roman" w:cs="Times New Roman"/>
                <w:lang w:val="en-GB"/>
              </w:rPr>
            </w:pPr>
          </w:p>
        </w:tc>
        <w:tc>
          <w:tcPr>
            <w:tcW w:w="5615" w:type="dxa"/>
          </w:tcPr>
          <w:p w14:paraId="7F0C93E3"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 xml:space="preserve">Landgrabbing ist die Landnahme, sei es durch Eigentum, Pacht, Konzession, Verträge, Quoten oder allgemeine Macht, von größeren als den ortsüblichen Landflächen durch Personen oder Einrichtungen – öffentlich oder privat, ausländisch oder inländisch – mit allen Mitteln – legal oder illegal – zum Zwecke der Spekulation, des Abbaus, der Ressourcenkontrolle oder der Kommodifizierung auf Kosten </w:t>
            </w:r>
            <w:r w:rsidRPr="001E4568">
              <w:rPr>
                <w:rFonts w:ascii="Times New Roman" w:hAnsi="Times New Roman" w:cs="Times New Roman"/>
                <w:lang w:val="de"/>
              </w:rPr>
              <w:lastRenderedPageBreak/>
              <w:t>der lokalen Landwirte, der Agrarökologie, der Landbewirtschaftung, der Ernährungssouveränität und der Menschenrechte.</w:t>
            </w:r>
          </w:p>
        </w:tc>
        <w:tc>
          <w:tcPr>
            <w:tcW w:w="616" w:type="dxa"/>
          </w:tcPr>
          <w:p w14:paraId="20927AA8"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11</w:t>
            </w:r>
          </w:p>
        </w:tc>
      </w:tr>
      <w:tr w:rsidR="001E4568" w:rsidRPr="001E4568" w14:paraId="760DDDBD" w14:textId="77777777" w:rsidTr="2C6C7817">
        <w:tc>
          <w:tcPr>
            <w:tcW w:w="2062" w:type="dxa"/>
          </w:tcPr>
          <w:p w14:paraId="54E2EF23"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Landwirtschaft</w:t>
            </w:r>
          </w:p>
        </w:tc>
        <w:tc>
          <w:tcPr>
            <w:tcW w:w="1469" w:type="dxa"/>
          </w:tcPr>
          <w:p w14:paraId="20FD0063" w14:textId="77777777" w:rsidR="001E4568" w:rsidRPr="001E4568" w:rsidRDefault="001E4568" w:rsidP="002A67F8">
            <w:pPr>
              <w:jc w:val="both"/>
              <w:rPr>
                <w:rFonts w:ascii="Times New Roman" w:hAnsi="Times New Roman" w:cs="Times New Roman"/>
                <w:lang w:val="en-GB"/>
              </w:rPr>
            </w:pPr>
          </w:p>
        </w:tc>
        <w:tc>
          <w:tcPr>
            <w:tcW w:w="5615" w:type="dxa"/>
          </w:tcPr>
          <w:p w14:paraId="2504944F"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color w:val="404040" w:themeColor="text1" w:themeTint="BF"/>
                <w:lang w:val="de"/>
              </w:rPr>
              <w:t>Landwirtschaft ist die Wissenschaft, Kunst und Praxis des Anbaus von Pflanzen und der Aufzucht von Tieren zur Erzeugung von Nahrungsmitteln, Fasern, Heilpflanzen und anderen Produkten, die der Erhaltung und Verbesserung des menschlichen Lebens dienen. Sie umfasst ein breites Spektrum von Tätigkeiten wie Bodenvorbereitung, Pflanzung, Bewässerung, Schädlingsbekämpfung, Ernte und Viehhaltung. Die Landwirtschaft ist ein grundlegender Bestandteil der menschlichen Zivilisation, da sie die Hauptquelle für Nahrungsmittel und Rohstoffe für die Industrie darstellt. Sie spielt auch eine entscheidende Rolle für die wirtschaftliche Entwicklung, das Umweltmanagement und kulturelle Praktiken.</w:t>
            </w:r>
          </w:p>
        </w:tc>
        <w:tc>
          <w:tcPr>
            <w:tcW w:w="616" w:type="dxa"/>
          </w:tcPr>
          <w:p w14:paraId="3BBA52F9"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38</w:t>
            </w:r>
          </w:p>
        </w:tc>
      </w:tr>
      <w:tr w:rsidR="001E4568" w:rsidRPr="001E4568" w14:paraId="621E3D5B" w14:textId="77777777" w:rsidTr="2C6C7817">
        <w:tc>
          <w:tcPr>
            <w:tcW w:w="2062" w:type="dxa"/>
          </w:tcPr>
          <w:p w14:paraId="0D00A036"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Lebendes System</w:t>
            </w:r>
          </w:p>
        </w:tc>
        <w:tc>
          <w:tcPr>
            <w:tcW w:w="1469" w:type="dxa"/>
          </w:tcPr>
          <w:p w14:paraId="6C0EF787" w14:textId="77777777" w:rsidR="001E4568" w:rsidRPr="001E4568" w:rsidRDefault="001E4568" w:rsidP="00A655ED">
            <w:pPr>
              <w:jc w:val="both"/>
              <w:rPr>
                <w:rFonts w:ascii="Times New Roman" w:hAnsi="Times New Roman" w:cs="Times New Roman"/>
                <w:lang w:val="en-GB"/>
              </w:rPr>
            </w:pPr>
          </w:p>
        </w:tc>
        <w:tc>
          <w:tcPr>
            <w:tcW w:w="5615" w:type="dxa"/>
          </w:tcPr>
          <w:p w14:paraId="153AF3ED"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Im Kontext der Umweltwissenschaft bezieht sich dieser Begriff auf jede biologische Einheit oder Gemeinschaft, die mit ihrer Umwelt in Wechselwirkung steht und die Merkmale von Leben aufweist. Dazu gehören nicht nur einzelne Organismen, sondern auch Populationen, Gemeinschaften, Ökosysteme und die Biosphäre als Ganzes. Beispiele für lebende Systeme sind Ökosysteme, mikrobielle Gemeinschaften und Nahrungsnetze.</w:t>
            </w:r>
          </w:p>
          <w:p w14:paraId="11AC8492"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Das Verständnis lebender Systeme ist eine wesentliche Voraussetzung für die Entwicklung nachhaltiger Umweltverfahren und -richtlinien, die auf die Erhaltung der Biodiversität und Gesundheit von Ökosystemen abzielen.</w:t>
            </w:r>
          </w:p>
          <w:p w14:paraId="226694BB" w14:textId="77777777" w:rsidR="001E4568" w:rsidRPr="001E4568" w:rsidRDefault="001E4568" w:rsidP="00A655ED">
            <w:pPr>
              <w:jc w:val="both"/>
              <w:rPr>
                <w:rFonts w:ascii="Times New Roman" w:hAnsi="Times New Roman" w:cs="Times New Roman"/>
                <w:lang w:val="de-DE"/>
              </w:rPr>
            </w:pPr>
          </w:p>
          <w:p w14:paraId="54648C8B"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 xml:space="preserve">Eigenschaften von lebenden Systemen: </w:t>
            </w:r>
          </w:p>
          <w:p w14:paraId="30709CB2"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Verflechtung</w:t>
            </w:r>
            <w:r w:rsidRPr="001E4568">
              <w:rPr>
                <w:rFonts w:ascii="Times New Roman" w:hAnsi="Times New Roman" w:cs="Times New Roman"/>
                <w:lang w:val="de"/>
              </w:rPr>
              <w:t>: Lebende Systeme zeichnen sich durch komplexe Wechselwirkungen zwischen verschiedenen Komponenten aus, insbesondere Organismen (Pflanzen, Tiere, Mikroorganismen) und ihre physische Umgebung (Boden, Wasser, Luft). Diese Wechselwirkungen können den Nährstoffkreislauf, den Energiefluss und die allgemeine Gesundheit des Ökosystems beeinflussen.</w:t>
            </w:r>
          </w:p>
          <w:p w14:paraId="6B38173A"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Anpassung und Evolution</w:t>
            </w:r>
            <w:r w:rsidRPr="001E4568">
              <w:rPr>
                <w:rFonts w:ascii="Times New Roman" w:hAnsi="Times New Roman" w:cs="Times New Roman"/>
                <w:lang w:val="de"/>
              </w:rPr>
              <w:t>: Lebende Systeme passen sich im Laufe der Zeit durch evolutionäre Prozesse an Umweltveränderungen an. Diese Anpassungsfähigkeit ist entscheidend für das Überleben in sich verändernden Klimazonen und Ökosystemen.</w:t>
            </w:r>
          </w:p>
          <w:p w14:paraId="61DFFF9C"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Nachhaltigkeit</w:t>
            </w:r>
            <w:r w:rsidRPr="001E4568">
              <w:rPr>
                <w:rFonts w:ascii="Times New Roman" w:hAnsi="Times New Roman" w:cs="Times New Roman"/>
                <w:lang w:val="de"/>
              </w:rPr>
              <w:t>: In der Umweltwissenschaft steht bei lebenden Systemen die Nachhaltigkeit im Vordergrund, d. h. die Fähigkeit, das ökologische Gleichgewicht aufrechtzuerhalten und das Leben auf lange Sicht zu erhalten. Dazu gehören Verfahren, welche die Biodiversität und die Resilienz gegenüber Umweltstressoren fördern.</w:t>
            </w:r>
          </w:p>
          <w:p w14:paraId="695DE11B"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Ökosystemleistungen</w:t>
            </w:r>
            <w:r w:rsidRPr="001E4568">
              <w:rPr>
                <w:rFonts w:ascii="Times New Roman" w:hAnsi="Times New Roman" w:cs="Times New Roman"/>
                <w:lang w:val="de"/>
              </w:rPr>
              <w:t>: Lebende Systeme erbringen wichtige Leistungen wie Bestäubung, Wasserreinigung, Kohlenstoffbindung und Bodenfruchtbarkeit. Das Verständnis dieser Leistungen ist für die Bewirtschaftung der natürlichen Ressourcen und die Bewältigung von Umweltproblemen von entscheidender Bedeutung.</w:t>
            </w:r>
          </w:p>
          <w:p w14:paraId="5191B60E"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lastRenderedPageBreak/>
              <w:t>Der Einfluss des Menschen</w:t>
            </w:r>
            <w:r w:rsidRPr="001E4568">
              <w:rPr>
                <w:rFonts w:ascii="Times New Roman" w:hAnsi="Times New Roman" w:cs="Times New Roman"/>
                <w:lang w:val="de"/>
              </w:rPr>
              <w:t>: Menschliche Aktivitäten beeinflussen lebende Systeme durch Umweltverschmutzung, Lebensraumzerstörung, Klimawandel und Ressourcenausbeutung erheblich. Die Umweltwissenschaft versucht, diese Auswirkungen zu verstehen und Strategien zur Minderung und Wiederherstellung zu entwickeln.</w:t>
            </w:r>
          </w:p>
          <w:p w14:paraId="5E020A7B" w14:textId="77777777" w:rsidR="001E4568" w:rsidRPr="001E4568" w:rsidRDefault="001E4568" w:rsidP="00A655ED">
            <w:pPr>
              <w:jc w:val="both"/>
              <w:rPr>
                <w:rFonts w:ascii="Times New Roman" w:hAnsi="Times New Roman" w:cs="Times New Roman"/>
                <w:lang w:val="de-DE"/>
              </w:rPr>
            </w:pPr>
          </w:p>
        </w:tc>
        <w:tc>
          <w:tcPr>
            <w:tcW w:w="616" w:type="dxa"/>
          </w:tcPr>
          <w:p w14:paraId="0F58F0E5"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19, 20</w:t>
            </w:r>
          </w:p>
        </w:tc>
      </w:tr>
      <w:tr w:rsidR="001E4568" w:rsidRPr="001E4568" w14:paraId="67909C75" w14:textId="77777777" w:rsidTr="2C6C7817">
        <w:tc>
          <w:tcPr>
            <w:tcW w:w="2062" w:type="dxa"/>
          </w:tcPr>
          <w:p w14:paraId="3D24C6CB"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Mineralisierung</w:t>
            </w:r>
          </w:p>
        </w:tc>
        <w:tc>
          <w:tcPr>
            <w:tcW w:w="1469" w:type="dxa"/>
          </w:tcPr>
          <w:p w14:paraId="46EB2174" w14:textId="77777777" w:rsidR="001E4568" w:rsidRPr="001E4568" w:rsidRDefault="001E4568" w:rsidP="00525540">
            <w:pPr>
              <w:jc w:val="both"/>
              <w:rPr>
                <w:rFonts w:ascii="Times New Roman" w:hAnsi="Times New Roman" w:cs="Times New Roman"/>
                <w:lang w:val="en-GB"/>
              </w:rPr>
            </w:pPr>
          </w:p>
        </w:tc>
        <w:tc>
          <w:tcPr>
            <w:tcW w:w="5615" w:type="dxa"/>
          </w:tcPr>
          <w:p w14:paraId="456F3276"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Der Abbau von organisch gebundenen Elementen (N, P, S) durch Bodenbiota in pflanzenverfügbare (anorganische) Formen.</w:t>
            </w:r>
          </w:p>
        </w:tc>
        <w:tc>
          <w:tcPr>
            <w:tcW w:w="616" w:type="dxa"/>
          </w:tcPr>
          <w:p w14:paraId="55EFB21B"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0CD46A8F" w14:textId="77777777" w:rsidTr="2C6C7817">
        <w:tc>
          <w:tcPr>
            <w:tcW w:w="2062" w:type="dxa"/>
          </w:tcPr>
          <w:p w14:paraId="31CF2EDD"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Mist</w:t>
            </w:r>
          </w:p>
        </w:tc>
        <w:tc>
          <w:tcPr>
            <w:tcW w:w="1469" w:type="dxa"/>
          </w:tcPr>
          <w:p w14:paraId="74459F83" w14:textId="77777777" w:rsidR="001E4568" w:rsidRPr="001E4568" w:rsidRDefault="001E4568" w:rsidP="00525540">
            <w:pPr>
              <w:jc w:val="both"/>
              <w:rPr>
                <w:rFonts w:ascii="Times New Roman" w:hAnsi="Times New Roman" w:cs="Times New Roman"/>
                <w:lang w:val="en-GB"/>
              </w:rPr>
            </w:pPr>
          </w:p>
        </w:tc>
        <w:tc>
          <w:tcPr>
            <w:tcW w:w="5615" w:type="dxa"/>
          </w:tcPr>
          <w:p w14:paraId="2E054C84"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Mist ist ein Dünger, der aus den Exkrementen von Tieren besteht, entweder als solche oder mit Einstreumaterial gebunden.</w:t>
            </w:r>
          </w:p>
        </w:tc>
        <w:tc>
          <w:tcPr>
            <w:tcW w:w="616" w:type="dxa"/>
          </w:tcPr>
          <w:p w14:paraId="1C553B66"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2E39FC21" w14:textId="77777777" w:rsidTr="2C6C7817">
        <w:tc>
          <w:tcPr>
            <w:tcW w:w="2062" w:type="dxa"/>
          </w:tcPr>
          <w:p w14:paraId="4C08B3C2"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Mulchen</w:t>
            </w:r>
          </w:p>
        </w:tc>
        <w:tc>
          <w:tcPr>
            <w:tcW w:w="1469" w:type="dxa"/>
          </w:tcPr>
          <w:p w14:paraId="04E50215" w14:textId="77777777" w:rsidR="001E4568" w:rsidRPr="001E4568" w:rsidRDefault="001E4568" w:rsidP="00525540">
            <w:pPr>
              <w:jc w:val="both"/>
              <w:rPr>
                <w:rFonts w:ascii="Times New Roman" w:hAnsi="Times New Roman" w:cs="Times New Roman"/>
                <w:lang w:val="en-GB"/>
              </w:rPr>
            </w:pPr>
          </w:p>
        </w:tc>
        <w:tc>
          <w:tcPr>
            <w:tcW w:w="5615" w:type="dxa"/>
          </w:tcPr>
          <w:p w14:paraId="608D829E"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Landwirtschaftliche Praxis, bei der die Bodenoberfläche mit organischen Materialien oder Plastikfolien bedeckt wird, um den Boden- und Wasserschutz zu fördern, Unkraut zu bekämpfen, Schädlinge fernzuhalten und günstige und stabile Bedingungen für das Pflanzenwachstum zu erhalten.</w:t>
            </w:r>
          </w:p>
        </w:tc>
        <w:tc>
          <w:tcPr>
            <w:tcW w:w="616" w:type="dxa"/>
          </w:tcPr>
          <w:p w14:paraId="2FD8E0EF"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56B334B9" w14:textId="77777777" w:rsidTr="2C6C7817">
        <w:tc>
          <w:tcPr>
            <w:tcW w:w="2062" w:type="dxa"/>
          </w:tcPr>
          <w:p w14:paraId="018A4686" w14:textId="77777777" w:rsidR="001E4568" w:rsidRPr="001E4568" w:rsidRDefault="001E4568" w:rsidP="2C6C7817">
            <w:pPr>
              <w:rPr>
                <w:rFonts w:ascii="Times New Roman" w:eastAsia="Times New Roman" w:hAnsi="Times New Roman" w:cs="Times New Roman"/>
                <w:b/>
                <w:bCs/>
                <w:color w:val="3A7C22" w:themeColor="accent6" w:themeShade="BF"/>
                <w:lang w:val="en-GB"/>
              </w:rPr>
            </w:pPr>
            <w:r w:rsidRPr="001E4568">
              <w:rPr>
                <w:rFonts w:ascii="Times New Roman" w:eastAsia="Times New Roman" w:hAnsi="Times New Roman" w:cs="Times New Roman"/>
                <w:b/>
                <w:bCs/>
                <w:color w:val="3A7C22" w:themeColor="accent6" w:themeShade="BF"/>
                <w:lang w:val="de"/>
              </w:rPr>
              <w:t xml:space="preserve">Multisektoraler Ansatz </w:t>
            </w:r>
          </w:p>
        </w:tc>
        <w:tc>
          <w:tcPr>
            <w:tcW w:w="1469" w:type="dxa"/>
          </w:tcPr>
          <w:p w14:paraId="30C02F90" w14:textId="77777777" w:rsidR="001E4568" w:rsidRPr="001E4568" w:rsidRDefault="001E4568" w:rsidP="00A655ED">
            <w:pPr>
              <w:jc w:val="both"/>
              <w:rPr>
                <w:rFonts w:ascii="Times New Roman" w:hAnsi="Times New Roman" w:cs="Times New Roman"/>
                <w:lang w:val="en-GB"/>
              </w:rPr>
            </w:pPr>
          </w:p>
        </w:tc>
        <w:tc>
          <w:tcPr>
            <w:tcW w:w="5615" w:type="dxa"/>
          </w:tcPr>
          <w:p w14:paraId="57ED7995" w14:textId="77777777" w:rsidR="001E4568" w:rsidRPr="001E4568" w:rsidRDefault="001E4568" w:rsidP="00A655ED">
            <w:pPr>
              <w:jc w:val="both"/>
              <w:rPr>
                <w:rFonts w:ascii="Times New Roman" w:hAnsi="Times New Roman" w:cs="Times New Roman"/>
                <w:lang w:val="en-GB"/>
              </w:rPr>
            </w:pPr>
            <w:r w:rsidRPr="001E4568">
              <w:rPr>
                <w:rFonts w:ascii="Times New Roman" w:hAnsi="Times New Roman" w:cs="Times New Roman"/>
                <w:lang w:val="de"/>
              </w:rPr>
              <w:t>Die Zusammenarbeit von Forschenden aus verschiedenen Fachgebieten bei der Lösung eines bestimmten Problems, wobei jedes Fachgebiet das eigene Wissen und die eigenen Methoden einbringt, was zu einem umfassenderen Verständnis des Problems führt.</w:t>
            </w:r>
            <w:r w:rsidRPr="001E4568">
              <w:rPr>
                <w:lang w:val="de"/>
              </w:rPr>
              <w:t xml:space="preserve"> </w:t>
            </w:r>
            <w:r w:rsidRPr="001E4568">
              <w:rPr>
                <w:rFonts w:ascii="Times New Roman" w:hAnsi="Times New Roman" w:cs="Times New Roman"/>
                <w:lang w:val="de"/>
              </w:rPr>
              <w:t>Das Integrationsniveau ist niedrig und die Fachgebiete arbeiten parallel.</w:t>
            </w:r>
          </w:p>
        </w:tc>
        <w:tc>
          <w:tcPr>
            <w:tcW w:w="616" w:type="dxa"/>
          </w:tcPr>
          <w:p w14:paraId="4C5E3F67"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32, 37</w:t>
            </w:r>
          </w:p>
        </w:tc>
      </w:tr>
      <w:tr w:rsidR="001E4568" w:rsidRPr="001E4568" w14:paraId="01BBEE8A" w14:textId="77777777" w:rsidTr="2C6C7817">
        <w:tc>
          <w:tcPr>
            <w:tcW w:w="2062" w:type="dxa"/>
          </w:tcPr>
          <w:p w14:paraId="33FA8309"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Mycorrhizae</w:t>
            </w:r>
          </w:p>
        </w:tc>
        <w:tc>
          <w:tcPr>
            <w:tcW w:w="1469" w:type="dxa"/>
          </w:tcPr>
          <w:p w14:paraId="2C81C457" w14:textId="77777777" w:rsidR="001E4568" w:rsidRPr="001E4568" w:rsidRDefault="001E4568" w:rsidP="00525540">
            <w:pPr>
              <w:jc w:val="both"/>
              <w:rPr>
                <w:rFonts w:ascii="Times New Roman" w:hAnsi="Times New Roman" w:cs="Times New Roman"/>
                <w:lang w:val="en-GB"/>
              </w:rPr>
            </w:pPr>
          </w:p>
        </w:tc>
        <w:tc>
          <w:tcPr>
            <w:tcW w:w="5615" w:type="dxa"/>
          </w:tcPr>
          <w:p w14:paraId="09560FCE"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Bedeutet wörtlich „Pilzwurzel“ und ist eine symbiotische (für beide Seiten vorteilhafte) Beziehung zwischen Pilzen und Pflanzenwurzeln. Der Pilz versorgt die Pflanzenwurzeln mit Wasser und Nährstoffen, während die Pflanze Kohlenhydrate liefert. Pflanzenwurzeln können in der Regel in nicht mehr als 1 % des Bodenvolumens vordringen, aber im Zusammenspiel mit Mykorrhizapilzen (die sich an die Zellwände der Pflanzenwurzeln heften) können etwa 20 % des Bodenvolumens erkundet werden. Über 80 % der Pflanzen haben eine Mykorrhiza-Assoziation, aber diese Pilzpopulationen werden durch konventionelle Bodenbearbeitung und hohe Stickstoff- und Phosphor-Düngergaben reduziert.</w:t>
            </w:r>
          </w:p>
        </w:tc>
        <w:tc>
          <w:tcPr>
            <w:tcW w:w="616" w:type="dxa"/>
          </w:tcPr>
          <w:p w14:paraId="45A90F47"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7</w:t>
            </w:r>
          </w:p>
        </w:tc>
      </w:tr>
      <w:tr w:rsidR="001E4568" w:rsidRPr="001E4568" w14:paraId="006E5E0A" w14:textId="77777777" w:rsidTr="2C6C7817">
        <w:tc>
          <w:tcPr>
            <w:tcW w:w="2062" w:type="dxa"/>
          </w:tcPr>
          <w:p w14:paraId="21BACC26"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Natürliches Kapital</w:t>
            </w:r>
          </w:p>
        </w:tc>
        <w:tc>
          <w:tcPr>
            <w:tcW w:w="1469" w:type="dxa"/>
          </w:tcPr>
          <w:p w14:paraId="16368123" w14:textId="77777777" w:rsidR="001E4568" w:rsidRPr="001E4568" w:rsidRDefault="001E4568" w:rsidP="00525540">
            <w:pPr>
              <w:jc w:val="both"/>
              <w:rPr>
                <w:rFonts w:ascii="Times New Roman" w:hAnsi="Times New Roman" w:cs="Times New Roman"/>
                <w:lang w:val="en-GB"/>
              </w:rPr>
            </w:pPr>
          </w:p>
        </w:tc>
        <w:tc>
          <w:tcPr>
            <w:tcW w:w="5615" w:type="dxa"/>
          </w:tcPr>
          <w:p w14:paraId="4404D017"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Bezieht sich sowohl auf die lebenden (z. B. Fischbestände, Wälder) als auch auf die nicht lebenden (z. B. Mineralien, Energieressourcen) Elemente der Natur. Das natürliche Kapital ist der Bestand an Ökosystemen auf der Erde, einschließlich Luft und Wasser sowie der biologischen und geografischen Vielfalt. Dieses Kapital stützt unsere Wirtschaft und Gesellschaft, indem es sowohl direkt als auch indirekt für die Menschen von Nutzen ist. Saubere Luft und sauberes Wasser, Abschwächung des Klimawandels und Anpassung an den Klimawandel, Nahrungsmittel, Energie, Orte zum Leben, Materialien für Produkte sowie Erholung und Schutz vor Gefahren zählen zu den gesellschaftlichen und ökologischen Vorteilen, die nachhaltig bewirtschaftetes natürliches Kapital mit sich bringt.</w:t>
            </w:r>
          </w:p>
        </w:tc>
        <w:tc>
          <w:tcPr>
            <w:tcW w:w="616" w:type="dxa"/>
          </w:tcPr>
          <w:p w14:paraId="07AFDAED"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1, 2</w:t>
            </w:r>
          </w:p>
        </w:tc>
      </w:tr>
      <w:tr w:rsidR="001E4568" w:rsidRPr="001E4568" w14:paraId="50AB7BE2" w14:textId="77777777" w:rsidTr="2C6C7817">
        <w:tc>
          <w:tcPr>
            <w:tcW w:w="2062" w:type="dxa"/>
          </w:tcPr>
          <w:p w14:paraId="251A51FE" w14:textId="77777777" w:rsidR="001E4568" w:rsidRPr="001E4568" w:rsidRDefault="001E4568" w:rsidP="00A655ED">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Neue Kommunikationsmethoden</w:t>
            </w:r>
          </w:p>
          <w:p w14:paraId="7DC84521" w14:textId="77777777" w:rsidR="001E4568" w:rsidRPr="001E4568" w:rsidRDefault="001E4568" w:rsidP="00A655ED">
            <w:pPr>
              <w:rPr>
                <w:rFonts w:ascii="Times New Roman" w:hAnsi="Times New Roman" w:cs="Times New Roman"/>
                <w:b/>
                <w:color w:val="D86DCB" w:themeColor="accent5" w:themeTint="99"/>
                <w:lang w:val="en-GB"/>
              </w:rPr>
            </w:pPr>
          </w:p>
        </w:tc>
        <w:tc>
          <w:tcPr>
            <w:tcW w:w="1469" w:type="dxa"/>
          </w:tcPr>
          <w:p w14:paraId="0710EFC0" w14:textId="77777777" w:rsidR="001E4568" w:rsidRPr="001E4568" w:rsidRDefault="001E4568" w:rsidP="00A655ED">
            <w:pPr>
              <w:jc w:val="both"/>
              <w:rPr>
                <w:rFonts w:ascii="Times New Roman" w:hAnsi="Times New Roman" w:cs="Times New Roman"/>
                <w:lang w:val="en-GB"/>
              </w:rPr>
            </w:pPr>
          </w:p>
        </w:tc>
        <w:tc>
          <w:tcPr>
            <w:tcW w:w="5615" w:type="dxa"/>
          </w:tcPr>
          <w:p w14:paraId="2FCA5212"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 xml:space="preserve">Innovative Strategien und Technologien, die den Austausch von Informationen zwischen Einzelpersonen, Organisationen und der Öffentlichkeit erleichtern. Diese Methoden umfassen eine Reihe von digitalen Hilfsmitteln und Plattformen, die die </w:t>
            </w:r>
            <w:r w:rsidRPr="001E4568">
              <w:rPr>
                <w:rFonts w:ascii="Times New Roman" w:hAnsi="Times New Roman" w:cs="Times New Roman"/>
                <w:lang w:val="de"/>
              </w:rPr>
              <w:lastRenderedPageBreak/>
              <w:t>Interaktion, die Einbeziehung und die Zugänglichkeit in verschiedenen Kontexten, insbesondere im Bildungswesen und in der öffentlichen Kommunikation, verbessern,</w:t>
            </w:r>
          </w:p>
        </w:tc>
        <w:tc>
          <w:tcPr>
            <w:tcW w:w="616" w:type="dxa"/>
          </w:tcPr>
          <w:p w14:paraId="7FBB54A7"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24,25, 26, 27</w:t>
            </w:r>
          </w:p>
        </w:tc>
      </w:tr>
      <w:tr w:rsidR="001E4568" w:rsidRPr="001E4568" w14:paraId="235C8610" w14:textId="77777777" w:rsidTr="2C6C7817">
        <w:tc>
          <w:tcPr>
            <w:tcW w:w="2062" w:type="dxa"/>
          </w:tcPr>
          <w:p w14:paraId="5DBC789F"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Nutzen</w:t>
            </w:r>
          </w:p>
        </w:tc>
        <w:tc>
          <w:tcPr>
            <w:tcW w:w="1469" w:type="dxa"/>
          </w:tcPr>
          <w:p w14:paraId="226C5EB4" w14:textId="77777777" w:rsidR="001E4568" w:rsidRPr="001E4568" w:rsidRDefault="001E4568" w:rsidP="00A655ED">
            <w:pPr>
              <w:jc w:val="both"/>
              <w:rPr>
                <w:rFonts w:ascii="Times New Roman" w:hAnsi="Times New Roman" w:cs="Times New Roman"/>
                <w:lang w:val="en-GB"/>
              </w:rPr>
            </w:pPr>
          </w:p>
        </w:tc>
        <w:tc>
          <w:tcPr>
            <w:tcW w:w="5615" w:type="dxa"/>
          </w:tcPr>
          <w:p w14:paraId="3279EB4B"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Im Zusammenhang mit der Umweltwissenschaft bezieht sich der Begriff „Nutzen“ auf die Bedeutung oder Wichtigkeit, die natürlichen Ressourcen, Ökosystemen und der Biodiversität zugeschrieben wird. Dies kann verschiedene Dimensionen umfassen, darunter den ökologischen, wirtschaftlichen, gesellschaftlichen und intrinsischen Nutzen.</w:t>
            </w:r>
          </w:p>
          <w:p w14:paraId="0A44762A"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Ökologischer Nutzen</w:t>
            </w:r>
            <w:r w:rsidRPr="001E4568">
              <w:rPr>
                <w:rFonts w:ascii="Times New Roman" w:hAnsi="Times New Roman" w:cs="Times New Roman"/>
                <w:lang w:val="de"/>
              </w:rPr>
              <w:t>: Bezieht sich auf die Rolle, die Ökosysteme bei der Erhaltung der Biodiversität und der Unterstützung von Lebensprozessen spielen. Die Binnengewässer in der Antarktis sind beispielsweise für ihre einzigartige Biodiversität und biologische Produktion bekannt, die entscheidend zur Erhaltung von Arten, die in den Polarregionen endemisch sind, beitragen.</w:t>
            </w:r>
          </w:p>
          <w:p w14:paraId="7F75DB88"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Wirtschaftlicher Nutzen</w:t>
            </w:r>
            <w:r w:rsidRPr="001E4568">
              <w:rPr>
                <w:rFonts w:ascii="Times New Roman" w:hAnsi="Times New Roman" w:cs="Times New Roman"/>
                <w:lang w:val="de"/>
              </w:rPr>
              <w:t>: Dazu gehören die greifbaren Vorteile, die sich aus natürlichen Ressourcen wie Holz und Mineralien sowie Ökosystemleistungen wie sauberes Wasser und saubere Luft ergeben. Der wirtschaftliche Nutzen wird häufig durch marktorientierte Ansätze oder Kosten-Nutzen-Analysen ermittelt, die die finanziellen Vorteile der Erhaltung natürlicher Lebensräume quantifizieren.</w:t>
            </w:r>
          </w:p>
          <w:p w14:paraId="6773EC09"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Gesellschaftlicher Nutzen</w:t>
            </w:r>
            <w:r w:rsidRPr="001E4568">
              <w:rPr>
                <w:rFonts w:ascii="Times New Roman" w:hAnsi="Times New Roman" w:cs="Times New Roman"/>
                <w:lang w:val="de"/>
              </w:rPr>
              <w:t>: Bezieht sich auf die kulturelle und erholungsbezogene Bedeutung von Naturgebieten für das Gemeinwesen. Dazu gehören Aspekte wie die ästhetische Wertschätzung, spirituelle Verbindungen zur Natur und die Erholungsmöglichkeiten, die Ökosysteme bieten.</w:t>
            </w:r>
          </w:p>
          <w:p w14:paraId="65330A61"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b/>
                <w:lang w:val="de"/>
              </w:rPr>
              <w:t>Intrinsischer Nutzen</w:t>
            </w:r>
            <w:r w:rsidRPr="001E4568">
              <w:rPr>
                <w:rFonts w:ascii="Times New Roman" w:hAnsi="Times New Roman" w:cs="Times New Roman"/>
                <w:lang w:val="de"/>
              </w:rPr>
              <w:t>: Beruht auf dem Wert der Natur an sich, unabhängig von ihrem Nutzen für den Menschen. Dieses Konzept plädiert für den Schutz von Ökosystemen auf der Grundlage ihres inhärenten Wertes.</w:t>
            </w:r>
          </w:p>
        </w:tc>
        <w:tc>
          <w:tcPr>
            <w:tcW w:w="616" w:type="dxa"/>
          </w:tcPr>
          <w:p w14:paraId="722227C4"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21,22</w:t>
            </w:r>
          </w:p>
        </w:tc>
      </w:tr>
      <w:tr w:rsidR="001E4568" w:rsidRPr="001E4568" w14:paraId="5617FA5D" w14:textId="77777777" w:rsidTr="2C6C7817">
        <w:tc>
          <w:tcPr>
            <w:tcW w:w="2062" w:type="dxa"/>
          </w:tcPr>
          <w:p w14:paraId="2F8FD108"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Ökosystemleistung</w:t>
            </w:r>
          </w:p>
        </w:tc>
        <w:tc>
          <w:tcPr>
            <w:tcW w:w="1469" w:type="dxa"/>
          </w:tcPr>
          <w:p w14:paraId="3B52E2BE" w14:textId="77777777" w:rsidR="001E4568" w:rsidRPr="001E4568" w:rsidRDefault="001E4568" w:rsidP="002A67F8">
            <w:pPr>
              <w:jc w:val="both"/>
              <w:rPr>
                <w:rFonts w:ascii="Times New Roman" w:hAnsi="Times New Roman" w:cs="Times New Roman"/>
                <w:lang w:val="en-GB"/>
              </w:rPr>
            </w:pPr>
          </w:p>
        </w:tc>
        <w:tc>
          <w:tcPr>
            <w:tcW w:w="5615" w:type="dxa"/>
          </w:tcPr>
          <w:p w14:paraId="75D16DC2" w14:textId="77777777" w:rsidR="001E4568" w:rsidRPr="001E4568" w:rsidRDefault="001E4568" w:rsidP="002A67F8">
            <w:pPr>
              <w:jc w:val="both"/>
              <w:rPr>
                <w:rFonts w:ascii="Times New Roman" w:hAnsi="Times New Roman" w:cs="Times New Roman"/>
                <w:lang w:val="en-GB"/>
              </w:rPr>
            </w:pPr>
            <w:r w:rsidRPr="001E4568">
              <w:rPr>
                <w:rFonts w:ascii="Times New Roman" w:hAnsi="Times New Roman" w:cs="Times New Roman"/>
                <w:lang w:val="de"/>
              </w:rPr>
              <w:t>Der Beitrag der Ökosysteme zu den Vorteilen, die durch wirtschaftliche und andere menschliche Aktivitäten erzielt werden. Die Ökosystemleistungen können grob in vier Kategorien eingeteilt werden:</w:t>
            </w:r>
          </w:p>
          <w:p w14:paraId="7E6CAA67" w14:textId="77777777" w:rsidR="001E4568" w:rsidRPr="001E4568" w:rsidRDefault="001E4568" w:rsidP="00373999">
            <w:pPr>
              <w:pStyle w:val="ListParagraph"/>
              <w:numPr>
                <w:ilvl w:val="0"/>
                <w:numId w:val="4"/>
              </w:numPr>
              <w:ind w:left="360"/>
              <w:jc w:val="both"/>
              <w:rPr>
                <w:rFonts w:ascii="Times New Roman" w:hAnsi="Times New Roman" w:cs="Times New Roman"/>
                <w:lang w:val="de-DE"/>
              </w:rPr>
            </w:pPr>
            <w:r w:rsidRPr="001E4568">
              <w:rPr>
                <w:rFonts w:ascii="Times New Roman" w:hAnsi="Times New Roman" w:cs="Times New Roman"/>
                <w:lang w:val="de"/>
              </w:rPr>
              <w:t xml:space="preserve">Versorgende Leistungen, d. h. die materiellen und energetischen Beiträge, die von oder in einem Ökosystem erzeugt werden, z. B. Pflanzen mit pharmazeutischen Eigenschaften. </w:t>
            </w:r>
          </w:p>
          <w:p w14:paraId="29D2263C" w14:textId="77777777" w:rsidR="001E4568" w:rsidRPr="001E4568" w:rsidRDefault="001E4568" w:rsidP="00CB5EC8">
            <w:pPr>
              <w:pStyle w:val="ListParagraph"/>
              <w:numPr>
                <w:ilvl w:val="0"/>
                <w:numId w:val="4"/>
              </w:numPr>
              <w:ind w:left="360"/>
              <w:jc w:val="both"/>
              <w:rPr>
                <w:rFonts w:ascii="Times New Roman" w:hAnsi="Times New Roman" w:cs="Times New Roman"/>
                <w:lang w:val="de-DE"/>
              </w:rPr>
            </w:pPr>
            <w:r w:rsidRPr="001E4568">
              <w:rPr>
                <w:rFonts w:ascii="Times New Roman" w:hAnsi="Times New Roman" w:cs="Times New Roman"/>
                <w:lang w:val="de"/>
              </w:rPr>
              <w:t xml:space="preserve">Regulierende Leistungen, die sich aus der Fähigkeit der Ökosysteme ergeben, das Klima, die hydrologischen und biochemischen Kreisläufe, die Prozesse an der Erdoberfläche und eine Vielzahl biologischer Prozesse zu regulieren. </w:t>
            </w:r>
          </w:p>
          <w:p w14:paraId="7E11862A" w14:textId="77777777" w:rsidR="001E4568" w:rsidRPr="001E4568" w:rsidRDefault="001E4568" w:rsidP="00CB5EC8">
            <w:pPr>
              <w:pStyle w:val="ListParagraph"/>
              <w:numPr>
                <w:ilvl w:val="0"/>
                <w:numId w:val="4"/>
              </w:numPr>
              <w:ind w:left="360"/>
              <w:jc w:val="both"/>
              <w:rPr>
                <w:rFonts w:ascii="Times New Roman" w:hAnsi="Times New Roman" w:cs="Times New Roman"/>
                <w:lang w:val="de-DE"/>
              </w:rPr>
            </w:pPr>
            <w:r w:rsidRPr="001E4568">
              <w:rPr>
                <w:rFonts w:ascii="Times New Roman" w:hAnsi="Times New Roman" w:cs="Times New Roman"/>
                <w:lang w:val="de"/>
              </w:rPr>
              <w:t>Kulturelle Leistungen aufgrund der physischen Umgebungen, Orte oder Situationen, die den Menschen einen intellektuellen und symbolischen Nutzen aus den Ökosystemen durch Erholung, Wissenserweiterung, Entspannung und spirituelle Reflexion bringen.</w:t>
            </w:r>
          </w:p>
          <w:p w14:paraId="0154E635" w14:textId="77777777" w:rsidR="001E4568" w:rsidRPr="001E4568" w:rsidRDefault="001E4568" w:rsidP="00373999">
            <w:pPr>
              <w:pStyle w:val="ListParagraph"/>
              <w:numPr>
                <w:ilvl w:val="0"/>
                <w:numId w:val="4"/>
              </w:numPr>
              <w:ind w:left="360"/>
              <w:jc w:val="both"/>
              <w:rPr>
                <w:rFonts w:ascii="Times New Roman" w:hAnsi="Times New Roman" w:cs="Times New Roman"/>
                <w:lang w:val="de-DE"/>
              </w:rPr>
            </w:pPr>
            <w:r w:rsidRPr="001E4568">
              <w:rPr>
                <w:rFonts w:ascii="Times New Roman" w:hAnsi="Times New Roman" w:cs="Times New Roman"/>
                <w:lang w:val="de"/>
              </w:rPr>
              <w:t xml:space="preserve">Unterstützende Leistungen, d. h. die grundlegenden natürlichen Prozesse, die die Bedingungen für das Leben auf der Erde aufrechterhalten und die Bereitstellung aller anderen Ökosystemleistungen (versorgende, regulierende und kulturelle) ermöglichen. Zu diesen Leistungen </w:t>
            </w:r>
            <w:r w:rsidRPr="001E4568">
              <w:rPr>
                <w:rFonts w:ascii="Times New Roman" w:hAnsi="Times New Roman" w:cs="Times New Roman"/>
                <w:lang w:val="de"/>
              </w:rPr>
              <w:lastRenderedPageBreak/>
              <w:t>gehören Bodenbildung, Nährstoffkreislauf, Primärproduktion, Wasserkreislauf und Bereitstellung von Lebensraum.</w:t>
            </w:r>
          </w:p>
        </w:tc>
        <w:tc>
          <w:tcPr>
            <w:tcW w:w="616" w:type="dxa"/>
          </w:tcPr>
          <w:p w14:paraId="311036ED"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1, 43</w:t>
            </w:r>
          </w:p>
        </w:tc>
      </w:tr>
      <w:tr w:rsidR="001E4568" w:rsidRPr="001E4568" w14:paraId="26684067" w14:textId="77777777" w:rsidTr="2C6C7817">
        <w:tc>
          <w:tcPr>
            <w:tcW w:w="2062" w:type="dxa"/>
          </w:tcPr>
          <w:p w14:paraId="70ECA613"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Ökosystemleistungen des Bodens</w:t>
            </w:r>
          </w:p>
        </w:tc>
        <w:tc>
          <w:tcPr>
            <w:tcW w:w="1469" w:type="dxa"/>
          </w:tcPr>
          <w:p w14:paraId="41AC18CB" w14:textId="77777777" w:rsidR="001E4568" w:rsidRPr="001E4568" w:rsidRDefault="001E4568" w:rsidP="00525540">
            <w:pPr>
              <w:jc w:val="both"/>
              <w:rPr>
                <w:rFonts w:ascii="Times New Roman" w:hAnsi="Times New Roman" w:cs="Times New Roman"/>
                <w:lang w:val="en-GB"/>
              </w:rPr>
            </w:pPr>
          </w:p>
        </w:tc>
        <w:tc>
          <w:tcPr>
            <w:tcW w:w="5615" w:type="dxa"/>
          </w:tcPr>
          <w:p w14:paraId="02400130"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bodenbezogene Untergruppe der Ökosystemleistungen, die direkt und quantifizierbar von Böden und ihren chemischen, physikalischen und biologischen Eigenschaften, Prozessen und Funktionen gesteuert oder bereitgestellt werden.</w:t>
            </w:r>
          </w:p>
        </w:tc>
        <w:tc>
          <w:tcPr>
            <w:tcW w:w="616" w:type="dxa"/>
          </w:tcPr>
          <w:p w14:paraId="6C7A2EF4"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w:t>
            </w:r>
          </w:p>
        </w:tc>
      </w:tr>
      <w:tr w:rsidR="001E4568" w:rsidRPr="001E4568" w14:paraId="1F43F74E" w14:textId="77777777" w:rsidTr="2C6C7817">
        <w:tc>
          <w:tcPr>
            <w:tcW w:w="2062" w:type="dxa"/>
          </w:tcPr>
          <w:p w14:paraId="087B8045"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Organischer Dünger</w:t>
            </w:r>
          </w:p>
        </w:tc>
        <w:tc>
          <w:tcPr>
            <w:tcW w:w="1469" w:type="dxa"/>
          </w:tcPr>
          <w:p w14:paraId="04F48A2C" w14:textId="77777777" w:rsidR="001E4568" w:rsidRPr="001E4568" w:rsidRDefault="001E4568" w:rsidP="00525540">
            <w:pPr>
              <w:jc w:val="both"/>
              <w:rPr>
                <w:rFonts w:ascii="Times New Roman" w:hAnsi="Times New Roman" w:cs="Times New Roman"/>
                <w:lang w:val="en-GB"/>
              </w:rPr>
            </w:pPr>
          </w:p>
        </w:tc>
        <w:tc>
          <w:tcPr>
            <w:tcW w:w="5615" w:type="dxa"/>
          </w:tcPr>
          <w:p w14:paraId="346568D1"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 xml:space="preserve">Düngemittel, die aus pflanzlichen oder tierischen Stoffen als Neben- oder Endprodukte natürlich vorkommender Prozesse bestehen, z. B. Mist und kompostierte organische Substanzen. </w:t>
            </w:r>
          </w:p>
        </w:tc>
        <w:tc>
          <w:tcPr>
            <w:tcW w:w="616" w:type="dxa"/>
          </w:tcPr>
          <w:p w14:paraId="3172E18F"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663DB0DA" w14:textId="77777777" w:rsidTr="2C6C7817">
        <w:tc>
          <w:tcPr>
            <w:tcW w:w="2062" w:type="dxa"/>
          </w:tcPr>
          <w:p w14:paraId="0D732256"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Oxidation</w:t>
            </w:r>
          </w:p>
        </w:tc>
        <w:tc>
          <w:tcPr>
            <w:tcW w:w="1469" w:type="dxa"/>
          </w:tcPr>
          <w:p w14:paraId="14F8FD29" w14:textId="77777777" w:rsidR="001E4568" w:rsidRPr="001E4568" w:rsidRDefault="001E4568" w:rsidP="00525540">
            <w:pPr>
              <w:jc w:val="both"/>
              <w:rPr>
                <w:rFonts w:ascii="Times New Roman" w:hAnsi="Times New Roman" w:cs="Times New Roman"/>
                <w:lang w:val="en-GB"/>
              </w:rPr>
            </w:pPr>
          </w:p>
        </w:tc>
        <w:tc>
          <w:tcPr>
            <w:tcW w:w="5615" w:type="dxa"/>
          </w:tcPr>
          <w:p w14:paraId="2F14BF0D"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Zugabe von Sauerstoff, die Entfernung von Wasserstoff oder der Entzug von Elektronen aus einem Element oder einer Verbindung. In der Umwelt oxidieren organische Stoffe zu stabileren Substanzen. Oxidation ist das Gegenteil von „Reduktion“. Die Oxidation von organischen Stoffen wird als „Verbrennen“ bezeichnet, die von Eisen als „Rosten“.</w:t>
            </w:r>
          </w:p>
        </w:tc>
        <w:tc>
          <w:tcPr>
            <w:tcW w:w="616" w:type="dxa"/>
          </w:tcPr>
          <w:p w14:paraId="49F20F3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6DEA6ABB" w14:textId="77777777" w:rsidTr="2C6C7817">
        <w:tc>
          <w:tcPr>
            <w:tcW w:w="2062" w:type="dxa"/>
          </w:tcPr>
          <w:p w14:paraId="67B6842B" w14:textId="77777777" w:rsidR="001E4568" w:rsidRPr="001E4568" w:rsidRDefault="001E4568" w:rsidP="00A655ED">
            <w:pPr>
              <w:rPr>
                <w:rFonts w:ascii="Times New Roman" w:hAnsi="Times New Roman" w:cs="Times New Roman"/>
                <w:b/>
                <w:color w:val="BF4E14" w:themeColor="accent2" w:themeShade="BF"/>
                <w:lang w:val="en-GB"/>
              </w:rPr>
            </w:pPr>
            <w:r w:rsidRPr="001E4568">
              <w:rPr>
                <w:rFonts w:ascii="Times New Roman" w:hAnsi="Times New Roman" w:cs="Times New Roman"/>
                <w:b/>
                <w:color w:val="3A7C22" w:themeColor="accent6" w:themeShade="BF"/>
                <w:lang w:val="de"/>
              </w:rPr>
              <w:t>Permakultur</w:t>
            </w:r>
          </w:p>
        </w:tc>
        <w:tc>
          <w:tcPr>
            <w:tcW w:w="1469" w:type="dxa"/>
          </w:tcPr>
          <w:p w14:paraId="5FF951D1" w14:textId="77777777" w:rsidR="001E4568" w:rsidRPr="001E4568" w:rsidRDefault="001E4568" w:rsidP="00A655ED">
            <w:pPr>
              <w:jc w:val="both"/>
              <w:rPr>
                <w:rFonts w:ascii="Times New Roman" w:hAnsi="Times New Roman" w:cs="Times New Roman"/>
                <w:lang w:val="en-GB"/>
              </w:rPr>
            </w:pPr>
          </w:p>
        </w:tc>
        <w:tc>
          <w:tcPr>
            <w:tcW w:w="5615" w:type="dxa"/>
          </w:tcPr>
          <w:p w14:paraId="7AC4A3DA"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 xml:space="preserve">Permakultur schafft landwirtschaftlich produktive Ökosysteme, die die Vielfalt, Stabilität und Resilienz natürlicher Ökosysteme nachahmen. Ziel der Permakultur ist es, eine Landschaft zu entwickeln, die sich über Generationen hinweg selbst erhält und produktiv ist. Es handelt sich um ein regeneratives Anbausystem, das eine Reihe von landwirtschaftlichen Methoden, ein Planungssystem zur Auswahl, Kombination und Abfolge dieser Methoden sowie das daraus resultierende agrarökologische Anbausystem umfasst. Permakultur kann in einem Bereich von Balkonkulturen bis hin zu mehreren Hektar Fläche eingesetzt werden. </w:t>
            </w:r>
          </w:p>
        </w:tc>
        <w:tc>
          <w:tcPr>
            <w:tcW w:w="616" w:type="dxa"/>
          </w:tcPr>
          <w:p w14:paraId="64CED5BC"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14</w:t>
            </w:r>
          </w:p>
        </w:tc>
      </w:tr>
      <w:tr w:rsidR="001E4568" w:rsidRPr="001E4568" w14:paraId="628D7005" w14:textId="77777777" w:rsidTr="2C6C7817">
        <w:tc>
          <w:tcPr>
            <w:tcW w:w="2062" w:type="dxa"/>
          </w:tcPr>
          <w:p w14:paraId="550D752E"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Pflanzenverfügbares Wasser</w:t>
            </w:r>
          </w:p>
        </w:tc>
        <w:tc>
          <w:tcPr>
            <w:tcW w:w="1469" w:type="dxa"/>
          </w:tcPr>
          <w:p w14:paraId="00553943" w14:textId="77777777" w:rsidR="001E4568" w:rsidRPr="001E4568" w:rsidRDefault="001E4568" w:rsidP="00525540">
            <w:pPr>
              <w:jc w:val="both"/>
              <w:rPr>
                <w:rFonts w:ascii="Times New Roman" w:hAnsi="Times New Roman" w:cs="Times New Roman"/>
                <w:lang w:val="en-GB"/>
              </w:rPr>
            </w:pPr>
          </w:p>
        </w:tc>
        <w:tc>
          <w:tcPr>
            <w:tcW w:w="5615" w:type="dxa"/>
          </w:tcPr>
          <w:p w14:paraId="608260C2"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 xml:space="preserve">Gesamtwassermenge in der Wurzelzone, die für die Evapotranspiration zur Verfügung steht. Es handelt sich um das im Boden zurückgehaltene Wasser zwischen dem Zustand der Feldkapazität und dem permanenten Welkepunkt. Diese Menge wird in der Regel in mm angegeben. Je mehr Wasser den Pflanzen zur Verfügung steht, desto größer sind die Produktivität und die biologische Aktivität des Bodens. </w:t>
            </w:r>
          </w:p>
          <w:p w14:paraId="04C6CCC5"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Grafische Darstellung der Auswirkung der Bodenkorngröße auf die pflanzenverfügbare Wasserkapazität nach Hantley (2023; 5)</w:t>
            </w:r>
          </w:p>
          <w:p w14:paraId="59AA5EB5" w14:textId="77777777" w:rsidR="001E4568" w:rsidRPr="001E4568" w:rsidRDefault="001E4568" w:rsidP="00525540">
            <w:pPr>
              <w:jc w:val="both"/>
              <w:rPr>
                <w:rFonts w:ascii="Times New Roman" w:hAnsi="Times New Roman" w:cs="Times New Roman"/>
                <w:lang w:val="de-DE"/>
              </w:rPr>
            </w:pPr>
          </w:p>
          <w:p w14:paraId="780027FB" w14:textId="77777777" w:rsidR="001E4568" w:rsidRPr="001E4568" w:rsidRDefault="001E4568" w:rsidP="00525540">
            <w:pPr>
              <w:jc w:val="both"/>
              <w:rPr>
                <w:rFonts w:ascii="Times New Roman" w:hAnsi="Times New Roman" w:cs="Times New Roman"/>
                <w:lang w:val="en-GB"/>
              </w:rPr>
            </w:pPr>
            <w:r w:rsidRPr="001E4568">
              <w:rPr>
                <w:rFonts w:ascii="Times New Roman" w:hAnsi="Times New Roman" w:cs="Times New Roman"/>
                <w:noProof/>
                <w:lang w:val="de"/>
              </w:rPr>
              <w:lastRenderedPageBreak/>
              <w:drawing>
                <wp:inline distT="0" distB="0" distL="0" distR="0" wp14:anchorId="6658E399" wp14:editId="7B205E90">
                  <wp:extent cx="3428736" cy="2879187"/>
                  <wp:effectExtent l="0" t="0" r="0" b="0"/>
                  <wp:docPr id="124630850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8819" cy="2896051"/>
                          </a:xfrm>
                          <a:prstGeom prst="rect">
                            <a:avLst/>
                          </a:prstGeom>
                        </pic:spPr>
                      </pic:pic>
                    </a:graphicData>
                  </a:graphic>
                </wp:inline>
              </w:drawing>
            </w:r>
          </w:p>
          <w:p w14:paraId="390ACD68" w14:textId="77777777" w:rsidR="001E4568" w:rsidRPr="001E4568" w:rsidRDefault="001E4568" w:rsidP="00525540">
            <w:pPr>
              <w:jc w:val="both"/>
              <w:rPr>
                <w:rFonts w:ascii="Times New Roman" w:hAnsi="Times New Roman" w:cs="Times New Roman"/>
                <w:lang w:val="en-GB"/>
              </w:rPr>
            </w:pPr>
            <w:r w:rsidRPr="001E4568">
              <w:rPr>
                <w:rFonts w:ascii="Times New Roman" w:hAnsi="Times New Roman" w:cs="Times New Roman"/>
                <w:color w:val="000000" w:themeColor="text1"/>
                <w:shd w:val="clear" w:color="auto" w:fill="FFFFFF"/>
                <w:lang w:val="de"/>
              </w:rPr>
              <w:t xml:space="preserve">Quelle: Huntley (2023). Springer, Cham. </w:t>
            </w:r>
            <w:r w:rsidRPr="001E4568">
              <w:fldChar w:fldCharType="begin"/>
            </w:r>
            <w:r w:rsidRPr="001E4568">
              <w:instrText>HYPERLINK "https://doi.org/10.1007/978-3-031-18923-4_6"</w:instrText>
            </w:r>
            <w:r w:rsidRPr="001E4568">
              <w:fldChar w:fldCharType="separate"/>
            </w:r>
            <w:r w:rsidRPr="001E4568">
              <w:rPr>
                <w:rStyle w:val="Hyperlink"/>
                <w:rFonts w:ascii="Times New Roman" w:hAnsi="Times New Roman" w:cs="Times New Roman"/>
                <w:color w:val="000000" w:themeColor="text1"/>
                <w:shd w:val="clear" w:color="auto" w:fill="FFFFFF"/>
                <w:lang w:val="de"/>
              </w:rPr>
              <w:t>https://doi.org/10.1007/978-3-031-18923-4_6</w:t>
            </w:r>
            <w:r w:rsidRPr="001E4568">
              <w:fldChar w:fldCharType="end"/>
            </w:r>
            <w:r w:rsidRPr="001E4568">
              <w:rPr>
                <w:rStyle w:val="Hyperlink"/>
                <w:rFonts w:ascii="Times New Roman" w:hAnsi="Times New Roman" w:cs="Times New Roman"/>
                <w:color w:val="000000" w:themeColor="text1"/>
                <w:shd w:val="clear" w:color="auto" w:fill="FFFFFF"/>
                <w:lang w:val="de"/>
              </w:rPr>
              <w:t>,</w:t>
            </w:r>
            <w:r w:rsidRPr="001E4568">
              <w:rPr>
                <w:rStyle w:val="Hyperlink"/>
                <w:color w:val="000000" w:themeColor="text1"/>
                <w:shd w:val="clear" w:color="auto" w:fill="FFFFFF"/>
                <w:lang w:val="de"/>
              </w:rPr>
              <w:t xml:space="preserve"> </w:t>
            </w:r>
            <w:hyperlink r:id="rId14" w:history="1">
              <w:r w:rsidRPr="001E4568">
                <w:rPr>
                  <w:rStyle w:val="Hyperlink"/>
                  <w:rFonts w:ascii="Times New Roman" w:hAnsi="Times New Roman" w:cs="Times New Roman"/>
                  <w:lang w:val="de"/>
                </w:rPr>
                <w:t>https://link.springer.com/chapter/10.1007/978-3-031-18923-4_6/figures/4</w:t>
              </w:r>
            </w:hyperlink>
          </w:p>
        </w:tc>
        <w:tc>
          <w:tcPr>
            <w:tcW w:w="616" w:type="dxa"/>
          </w:tcPr>
          <w:p w14:paraId="6E76E71F"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lastRenderedPageBreak/>
              <w:t>3, 4, 5</w:t>
            </w:r>
          </w:p>
        </w:tc>
      </w:tr>
      <w:tr w:rsidR="001E4568" w:rsidRPr="001E4568" w14:paraId="10AE9B6D" w14:textId="77777777" w:rsidTr="2C6C7817">
        <w:tc>
          <w:tcPr>
            <w:tcW w:w="2062" w:type="dxa"/>
          </w:tcPr>
          <w:p w14:paraId="670F4F0C"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Reduktion</w:t>
            </w:r>
          </w:p>
        </w:tc>
        <w:tc>
          <w:tcPr>
            <w:tcW w:w="1469" w:type="dxa"/>
          </w:tcPr>
          <w:p w14:paraId="51587A64" w14:textId="77777777" w:rsidR="001E4568" w:rsidRPr="001E4568" w:rsidRDefault="001E4568" w:rsidP="00525540">
            <w:pPr>
              <w:jc w:val="both"/>
              <w:rPr>
                <w:rFonts w:ascii="Times New Roman" w:hAnsi="Times New Roman" w:cs="Times New Roman"/>
                <w:lang w:val="en-GB"/>
              </w:rPr>
            </w:pPr>
          </w:p>
        </w:tc>
        <w:tc>
          <w:tcPr>
            <w:tcW w:w="5615" w:type="dxa"/>
          </w:tcPr>
          <w:p w14:paraId="4A5C31E8" w14:textId="77777777" w:rsidR="001E4568" w:rsidRPr="001E4568" w:rsidRDefault="001E4568" w:rsidP="00525540">
            <w:pPr>
              <w:jc w:val="both"/>
              <w:rPr>
                <w:rFonts w:ascii="Times New Roman" w:hAnsi="Times New Roman" w:cs="Times New Roman"/>
                <w:lang w:val="en-GB"/>
              </w:rPr>
            </w:pPr>
            <w:r w:rsidRPr="001E4568">
              <w:rPr>
                <w:rFonts w:ascii="Times New Roman" w:hAnsi="Times New Roman" w:cs="Times New Roman"/>
                <w:lang w:val="de"/>
              </w:rPr>
              <w:t>Das Hinzufügen von Wasserstoff, das Entfernen von Sauerstoff oder das Hinzufügen von Elektronen zu einem Element oder einer Verbindung. Unter anaeroben Bedingungen, d. h. unter Redox-Bedingungen (wenn kein gelöster Sauerstoff vorhanden ist), z. B. in „Gley“-Böden, werden Schwefelverbindungen zu geruchsbildendem Schwefelwasserstoff (H</w:t>
            </w:r>
            <w:r w:rsidRPr="001E4568">
              <w:rPr>
                <w:rFonts w:ascii="Times New Roman" w:hAnsi="Times New Roman" w:cs="Times New Roman"/>
                <w:vertAlign w:val="subscript"/>
                <w:lang w:val="de"/>
              </w:rPr>
              <w:t>2</w:t>
            </w:r>
            <w:r w:rsidRPr="001E4568">
              <w:rPr>
                <w:rFonts w:ascii="Times New Roman" w:hAnsi="Times New Roman" w:cs="Times New Roman"/>
                <w:lang w:val="de"/>
              </w:rPr>
              <w:t>S) und anderen Verbindungen reduziert. Reduktion ist das Gegenteil von Oxidation.</w:t>
            </w:r>
          </w:p>
        </w:tc>
        <w:tc>
          <w:tcPr>
            <w:tcW w:w="616" w:type="dxa"/>
          </w:tcPr>
          <w:p w14:paraId="4DF37A7B"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7A5A8DEF" w14:textId="77777777" w:rsidTr="2C6C7817">
        <w:tc>
          <w:tcPr>
            <w:tcW w:w="2062" w:type="dxa"/>
          </w:tcPr>
          <w:p w14:paraId="158D56CD" w14:textId="77777777" w:rsidR="001E4568" w:rsidRPr="001E4568" w:rsidRDefault="001E4568" w:rsidP="00A655ED">
            <w:pPr>
              <w:rPr>
                <w:rFonts w:ascii="Times New Roman" w:hAnsi="Times New Roman" w:cs="Times New Roman"/>
                <w:b/>
                <w:color w:val="BF4E14" w:themeColor="accent2" w:themeShade="BF"/>
                <w:lang w:val="en-GB"/>
              </w:rPr>
            </w:pPr>
            <w:r w:rsidRPr="001E4568">
              <w:rPr>
                <w:rFonts w:ascii="Times New Roman" w:hAnsi="Times New Roman" w:cs="Times New Roman"/>
                <w:b/>
                <w:color w:val="3A7C22" w:themeColor="accent6" w:themeShade="BF"/>
                <w:lang w:val="de"/>
              </w:rPr>
              <w:t>Regenerative Landwirtschaft</w:t>
            </w:r>
          </w:p>
        </w:tc>
        <w:tc>
          <w:tcPr>
            <w:tcW w:w="1469" w:type="dxa"/>
          </w:tcPr>
          <w:p w14:paraId="6A47C4C5" w14:textId="77777777" w:rsidR="001E4568" w:rsidRPr="001E4568" w:rsidRDefault="001E4568" w:rsidP="00A655ED">
            <w:pPr>
              <w:jc w:val="both"/>
              <w:rPr>
                <w:rFonts w:ascii="Times New Roman" w:hAnsi="Times New Roman" w:cs="Times New Roman"/>
                <w:lang w:val="en-GB"/>
              </w:rPr>
            </w:pPr>
          </w:p>
        </w:tc>
        <w:tc>
          <w:tcPr>
            <w:tcW w:w="5615" w:type="dxa"/>
          </w:tcPr>
          <w:p w14:paraId="5E54B2A6"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Wissenschaftsbasierter Ansatz für Landwirtschaft und Landmanagement, der sich auf die Wiederherstellung und Verbesserung der Bodengesundheit, der Biodiversität und der Ökosystemfunktionen konzentriert und gleichzeitig die landwirtschaftliche Produktivität und Resilienz verbessert. Dabei werden Verfahren angewandt, die degradierte Böden und Ökosysteme aktiv regenerieren und so eine positive Rückkopplungsschleife schaffen, die sowohl der Umwelt als auch den landwirtschaftlichen Systemen zugute kommt. Diese Form der Landwirtschaft betont die Wechselbeziehungen zwischen Böden, Pflanzen, Tieren und Menschen und zielt darauf ab, einen regenerativen Kreislauf zu schaffen, der die Ökosystemleistungen verbessert und die langfristige Nachhaltigkeit der Landwirtschaft unterstützt.</w:t>
            </w:r>
          </w:p>
        </w:tc>
        <w:tc>
          <w:tcPr>
            <w:tcW w:w="616" w:type="dxa"/>
          </w:tcPr>
          <w:p w14:paraId="72567885"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1, 41</w:t>
            </w:r>
          </w:p>
        </w:tc>
      </w:tr>
      <w:tr w:rsidR="001E4568" w:rsidRPr="001E4568" w14:paraId="4FBA72B4" w14:textId="77777777" w:rsidTr="2C6C7817">
        <w:tc>
          <w:tcPr>
            <w:tcW w:w="2062" w:type="dxa"/>
          </w:tcPr>
          <w:p w14:paraId="7F040155"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Resilienz</w:t>
            </w:r>
          </w:p>
        </w:tc>
        <w:tc>
          <w:tcPr>
            <w:tcW w:w="1469" w:type="dxa"/>
          </w:tcPr>
          <w:p w14:paraId="57B40F4A" w14:textId="77777777" w:rsidR="001E4568" w:rsidRPr="001E4568" w:rsidRDefault="001E4568" w:rsidP="00525540">
            <w:pPr>
              <w:jc w:val="both"/>
              <w:rPr>
                <w:rFonts w:ascii="Times New Roman" w:hAnsi="Times New Roman" w:cs="Times New Roman"/>
                <w:lang w:val="en-GB"/>
              </w:rPr>
            </w:pPr>
          </w:p>
        </w:tc>
        <w:tc>
          <w:tcPr>
            <w:tcW w:w="5615" w:type="dxa"/>
          </w:tcPr>
          <w:p w14:paraId="31BB7C00"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Fähigkeit eines Systems und seiner Bestandteile, die Auswirkungen eines schädlichen Ereignisses rechtzeitig und effizient zu antizipieren, zu absorbieren, zu bewältigen oder sich davon zu erholen, einschließlich der Erhaltung, Wiederherstellung oder Verbesserung seiner wesentlichen Grundstruktur und Funktion.</w:t>
            </w:r>
          </w:p>
        </w:tc>
        <w:tc>
          <w:tcPr>
            <w:tcW w:w="616" w:type="dxa"/>
          </w:tcPr>
          <w:p w14:paraId="0090D7FB"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1</w:t>
            </w:r>
          </w:p>
        </w:tc>
      </w:tr>
      <w:tr w:rsidR="001E4568" w:rsidRPr="001E4568" w14:paraId="38083CB1" w14:textId="77777777" w:rsidTr="2C6C7817">
        <w:tc>
          <w:tcPr>
            <w:tcW w:w="2062" w:type="dxa"/>
          </w:tcPr>
          <w:p w14:paraId="3ECF37E9"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Resistenz</w:t>
            </w:r>
          </w:p>
        </w:tc>
        <w:tc>
          <w:tcPr>
            <w:tcW w:w="1469" w:type="dxa"/>
          </w:tcPr>
          <w:p w14:paraId="2EA0C6C1" w14:textId="77777777" w:rsidR="001E4568" w:rsidRPr="001E4568" w:rsidRDefault="001E4568" w:rsidP="00525540">
            <w:pPr>
              <w:jc w:val="both"/>
              <w:rPr>
                <w:rFonts w:ascii="Times New Roman" w:hAnsi="Times New Roman" w:cs="Times New Roman"/>
                <w:lang w:val="en-GB"/>
              </w:rPr>
            </w:pPr>
          </w:p>
        </w:tc>
        <w:tc>
          <w:tcPr>
            <w:tcW w:w="5615" w:type="dxa"/>
          </w:tcPr>
          <w:p w14:paraId="68F59D2C"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Die Fähigkeit eines Ökosystems, einer Belastung oder Störung ohne nachteilige Veränderungen seiner Struktur oder Funktion standzuhalten und so einen Gleichgewichtszustand aufrechtzuerhalten.</w:t>
            </w:r>
          </w:p>
        </w:tc>
        <w:tc>
          <w:tcPr>
            <w:tcW w:w="616" w:type="dxa"/>
          </w:tcPr>
          <w:p w14:paraId="319B90A1"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3402E3CD" w14:textId="77777777" w:rsidTr="2C6C7817">
        <w:tc>
          <w:tcPr>
            <w:tcW w:w="2062" w:type="dxa"/>
          </w:tcPr>
          <w:p w14:paraId="2F0D21BA" w14:textId="77777777" w:rsidR="001E4568" w:rsidRPr="001E4568" w:rsidRDefault="001E4568" w:rsidP="002A67F8">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lastRenderedPageBreak/>
              <w:t>Rückstände</w:t>
            </w:r>
          </w:p>
        </w:tc>
        <w:tc>
          <w:tcPr>
            <w:tcW w:w="1469" w:type="dxa"/>
          </w:tcPr>
          <w:p w14:paraId="25D3A4BA" w14:textId="77777777" w:rsidR="001E4568" w:rsidRPr="001E4568" w:rsidRDefault="001E4568" w:rsidP="00525540">
            <w:pPr>
              <w:jc w:val="both"/>
              <w:rPr>
                <w:rFonts w:ascii="Times New Roman" w:hAnsi="Times New Roman" w:cs="Times New Roman"/>
                <w:lang w:val="en-GB"/>
              </w:rPr>
            </w:pPr>
          </w:p>
        </w:tc>
        <w:tc>
          <w:tcPr>
            <w:tcW w:w="5615" w:type="dxa"/>
          </w:tcPr>
          <w:p w14:paraId="43634A56"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Jegliches organische Material, das bei der Erzeugung, der Verarbeitung oder dem Verzehr von Nutzpflanzen anfällt, von Wurzeln, Stoppeln, Stroh und Blättern bis hin zu industriellen Abfällen und Siedlungsabfällen.</w:t>
            </w:r>
          </w:p>
        </w:tc>
        <w:tc>
          <w:tcPr>
            <w:tcW w:w="616" w:type="dxa"/>
          </w:tcPr>
          <w:p w14:paraId="5327AC1E"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62830FF4" w14:textId="77777777" w:rsidTr="2C6C7817">
        <w:tc>
          <w:tcPr>
            <w:tcW w:w="2062" w:type="dxa"/>
          </w:tcPr>
          <w:p w14:paraId="6DE9EE56"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Schadstoff</w:t>
            </w:r>
          </w:p>
        </w:tc>
        <w:tc>
          <w:tcPr>
            <w:tcW w:w="1469" w:type="dxa"/>
          </w:tcPr>
          <w:p w14:paraId="4269424B" w14:textId="77777777" w:rsidR="001E4568" w:rsidRPr="001E4568" w:rsidRDefault="001E4568" w:rsidP="00525540">
            <w:pPr>
              <w:jc w:val="both"/>
              <w:rPr>
                <w:rFonts w:ascii="Times New Roman" w:hAnsi="Times New Roman" w:cs="Times New Roman"/>
                <w:lang w:val="en-GB"/>
              </w:rPr>
            </w:pPr>
          </w:p>
        </w:tc>
        <w:tc>
          <w:tcPr>
            <w:tcW w:w="5615" w:type="dxa"/>
          </w:tcPr>
          <w:p w14:paraId="5B210432" w14:textId="77777777" w:rsidR="001E4568" w:rsidRPr="001E4568" w:rsidRDefault="001E4568" w:rsidP="00525540">
            <w:pPr>
              <w:jc w:val="both"/>
              <w:rPr>
                <w:rFonts w:ascii="Times New Roman" w:hAnsi="Times New Roman" w:cs="Times New Roman"/>
                <w:lang w:val="de-DE"/>
              </w:rPr>
            </w:pPr>
            <w:r w:rsidRPr="001E4568">
              <w:rPr>
                <w:rFonts w:ascii="Times New Roman" w:hAnsi="Times New Roman" w:cs="Times New Roman"/>
                <w:lang w:val="de"/>
              </w:rPr>
              <w:t>Stoff oder Verbindung im Boden (oder Grundwasser), der/die aufgrund seiner/ihrer Eigenschaften, seiner/ihrer Menge oder seiner/ihrer Konzentration nachteilige Auswirkungen auf die Bodenfunktion hat und sich negativ auf Bodenbiota und andere lebende Biota auswirkt.</w:t>
            </w:r>
          </w:p>
        </w:tc>
        <w:tc>
          <w:tcPr>
            <w:tcW w:w="616" w:type="dxa"/>
          </w:tcPr>
          <w:p w14:paraId="1CAAE0E9"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w:t>
            </w:r>
          </w:p>
        </w:tc>
      </w:tr>
      <w:tr w:rsidR="001E4568" w:rsidRPr="001E4568" w14:paraId="2A642F70" w14:textId="77777777" w:rsidTr="2C6C7817">
        <w:tc>
          <w:tcPr>
            <w:tcW w:w="2062" w:type="dxa"/>
          </w:tcPr>
          <w:p w14:paraId="5907DE27"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Spurenelemente</w:t>
            </w:r>
          </w:p>
        </w:tc>
        <w:tc>
          <w:tcPr>
            <w:tcW w:w="1469" w:type="dxa"/>
          </w:tcPr>
          <w:p w14:paraId="1DE26832" w14:textId="77777777" w:rsidR="001E4568" w:rsidRPr="001E4568" w:rsidRDefault="001E4568" w:rsidP="00A655ED">
            <w:pPr>
              <w:jc w:val="both"/>
              <w:rPr>
                <w:rFonts w:ascii="Times New Roman" w:hAnsi="Times New Roman" w:cs="Times New Roman"/>
                <w:lang w:val="en-GB"/>
              </w:rPr>
            </w:pPr>
          </w:p>
        </w:tc>
        <w:tc>
          <w:tcPr>
            <w:tcW w:w="5615" w:type="dxa"/>
          </w:tcPr>
          <w:p w14:paraId="11C3FA78"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Spurenelemente werden als Indikatoren oder Überbleibsel betrachtet, die Rückschlüsse auf frühere Ereignisse oder Bedingungen ermöglichen. Dazu können physische Spuren in der Umwelt gehören, wie Bodenproben, die auf eine frühere Landnutzung hinweisen, oder chemische Spuren, die Aufschluss über den Grad der Verschmutzung oder ökologische Veränderungen geben. Es handelt sich dabei um Elemente, die in sehr geringen Mengen in einer bestimmten Umgebung vorhanden sind, in der Regel weniger als 100 Teile pro Million (ppm) oder 100 mg/kg. Je nach ihrer Konzentration können sie für Organismen lebenswichtig oder giftig sein. Elemente wie Arsen (As), Kadmium (Cd) und Blei (Pb) werden aufgrund ihrer potenziellen Auswirkungen auf Umwelt und Gesundheit häufig als Spurenelemente untersucht.</w:t>
            </w:r>
          </w:p>
        </w:tc>
        <w:tc>
          <w:tcPr>
            <w:tcW w:w="616" w:type="dxa"/>
          </w:tcPr>
          <w:p w14:paraId="266C78D4"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34</w:t>
            </w:r>
          </w:p>
        </w:tc>
      </w:tr>
      <w:tr w:rsidR="001E4568" w:rsidRPr="001E4568" w14:paraId="18B9B204" w14:textId="77777777" w:rsidTr="2C6C7817">
        <w:tc>
          <w:tcPr>
            <w:tcW w:w="2062" w:type="dxa"/>
          </w:tcPr>
          <w:p w14:paraId="607CAE08" w14:textId="77777777" w:rsidR="001E4568" w:rsidRPr="001E4568" w:rsidRDefault="001E4568" w:rsidP="00A655ED">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Transdisziplinarität</w:t>
            </w:r>
          </w:p>
        </w:tc>
        <w:tc>
          <w:tcPr>
            <w:tcW w:w="1469" w:type="dxa"/>
          </w:tcPr>
          <w:p w14:paraId="2A2D5AA6" w14:textId="77777777" w:rsidR="001E4568" w:rsidRPr="001E4568" w:rsidRDefault="001E4568" w:rsidP="00A655ED">
            <w:pPr>
              <w:jc w:val="both"/>
              <w:rPr>
                <w:rFonts w:ascii="Times New Roman" w:hAnsi="Times New Roman" w:cs="Times New Roman"/>
                <w:color w:val="3A7C22" w:themeColor="accent6" w:themeShade="BF"/>
                <w:lang w:val="en-GB"/>
              </w:rPr>
            </w:pPr>
          </w:p>
        </w:tc>
        <w:tc>
          <w:tcPr>
            <w:tcW w:w="5615" w:type="dxa"/>
          </w:tcPr>
          <w:p w14:paraId="28FB61CE"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Integriert Wissen aus verschiedenen Fachgebieten und nichtakademischen Quellen, um komplexe Probleme zu lösen, wobei der Schwerpunkt auf der fachübergreifenden Zusammenarbeit liegt. Dieser Forschungsansatz integriert Wissen aus verschiedenen akademischen Disziplinen und treibt die Kooperation mit nichtakademischen Akteuren voran, um komplexe gesellschaftliche Herausforderungen anzugehen.</w:t>
            </w:r>
            <w:r w:rsidRPr="001E4568">
              <w:rPr>
                <w:lang w:val="de"/>
              </w:rPr>
              <w:t xml:space="preserve"> </w:t>
            </w:r>
            <w:r w:rsidRPr="001E4568">
              <w:rPr>
                <w:rFonts w:ascii="Times New Roman" w:hAnsi="Times New Roman" w:cs="Times New Roman"/>
                <w:lang w:val="de"/>
              </w:rPr>
              <w:t>Er betont die Verflechtung verschiedener Fachgebiete und zielt darauf ab, durch die Kombination diverser Perspektiven und Fachkenntnisse aus unterschiedlichen Disziplinen ganzheitliche Lösungen zu schaffen. Das Integrationsniveau ist hoch und die einzelnen Fachgebiete und Akteure arbeiten zusammen.</w:t>
            </w:r>
          </w:p>
        </w:tc>
        <w:tc>
          <w:tcPr>
            <w:tcW w:w="616" w:type="dxa"/>
          </w:tcPr>
          <w:p w14:paraId="4EE3EAF6"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31, 36</w:t>
            </w:r>
          </w:p>
        </w:tc>
      </w:tr>
      <w:tr w:rsidR="001E4568" w:rsidRPr="001E4568" w14:paraId="55FC400D" w14:textId="77777777" w:rsidTr="2C6C7817">
        <w:tc>
          <w:tcPr>
            <w:tcW w:w="2062" w:type="dxa"/>
          </w:tcPr>
          <w:p w14:paraId="26EF0458"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Überwachung der Bodenqualität</w:t>
            </w:r>
          </w:p>
        </w:tc>
        <w:tc>
          <w:tcPr>
            <w:tcW w:w="1469" w:type="dxa"/>
          </w:tcPr>
          <w:p w14:paraId="3A8662FC" w14:textId="77777777" w:rsidR="001E4568" w:rsidRPr="001E4568" w:rsidRDefault="001E4568" w:rsidP="00525540">
            <w:pPr>
              <w:jc w:val="both"/>
              <w:rPr>
                <w:rFonts w:ascii="Times New Roman" w:hAnsi="Times New Roman" w:cs="Times New Roman"/>
                <w:lang w:val="en-GB"/>
              </w:rPr>
            </w:pPr>
          </w:p>
        </w:tc>
        <w:tc>
          <w:tcPr>
            <w:tcW w:w="5615" w:type="dxa"/>
          </w:tcPr>
          <w:p w14:paraId="50902E2B" w14:textId="77777777" w:rsidR="001E4568" w:rsidRPr="001E4568" w:rsidRDefault="001E4568" w:rsidP="00525540">
            <w:pPr>
              <w:jc w:val="both"/>
              <w:rPr>
                <w:rFonts w:ascii="Times New Roman" w:hAnsi="Times New Roman" w:cs="Times New Roman"/>
                <w:lang w:val="en-GB"/>
              </w:rPr>
            </w:pPr>
            <w:r w:rsidRPr="001E4568">
              <w:rPr>
                <w:rFonts w:ascii="Times New Roman" w:hAnsi="Times New Roman" w:cs="Times New Roman"/>
                <w:lang w:val="de"/>
              </w:rPr>
              <w:t>Erfassung von Trends bei quantitativen Indikatoren oder der Funktionsfähigkeit des Bodens, um den Erfolg von Bewirtschaftungsmethoden bzw. die Notwendigkeit methodischer Veränderungen zu ermitteln. Die Überwachung umfasst die geordnete Erhebung, Analyse und Interpretation von Daten derselben Orte im Zeitverlauf. (Vergleiche mit Beurteilung.)</w:t>
            </w:r>
          </w:p>
        </w:tc>
        <w:tc>
          <w:tcPr>
            <w:tcW w:w="616" w:type="dxa"/>
          </w:tcPr>
          <w:p w14:paraId="4648128B"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5141B88D" w14:textId="77777777" w:rsidTr="2C6C7817">
        <w:tc>
          <w:tcPr>
            <w:tcW w:w="2062" w:type="dxa"/>
          </w:tcPr>
          <w:p w14:paraId="49321F98"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Umwelttracer</w:t>
            </w:r>
          </w:p>
        </w:tc>
        <w:tc>
          <w:tcPr>
            <w:tcW w:w="1469" w:type="dxa"/>
          </w:tcPr>
          <w:p w14:paraId="22F2E123" w14:textId="77777777" w:rsidR="001E4568" w:rsidRPr="001E4568" w:rsidRDefault="001E4568" w:rsidP="00A655ED">
            <w:pPr>
              <w:jc w:val="both"/>
              <w:rPr>
                <w:rFonts w:ascii="Times New Roman" w:hAnsi="Times New Roman" w:cs="Times New Roman"/>
                <w:lang w:val="en-GB"/>
              </w:rPr>
            </w:pPr>
          </w:p>
        </w:tc>
        <w:tc>
          <w:tcPr>
            <w:tcW w:w="5615" w:type="dxa"/>
          </w:tcPr>
          <w:p w14:paraId="5AB3CA2A"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Dies sind Stoffe, die dazu dienen, die Bewegung von Wasser, Schadstoffen oder anderen Substanzen in der Umwelt zu verfolgen. Stabile Isotope und Edelgase werden häufig als Tracer zur Untersuchung von Prozessen wie Grundwasserfluss, Schadstofftransport und biogeochemische Kreisläufe verwendet.</w:t>
            </w:r>
          </w:p>
          <w:p w14:paraId="3E5F8DEA" w14:textId="77777777" w:rsidR="001E4568" w:rsidRPr="001E4568" w:rsidRDefault="001E4568" w:rsidP="00A655ED">
            <w:pPr>
              <w:jc w:val="both"/>
              <w:rPr>
                <w:rFonts w:ascii="Times New Roman" w:hAnsi="Times New Roman" w:cs="Times New Roman"/>
                <w:lang w:val="de-DE"/>
              </w:rPr>
            </w:pPr>
          </w:p>
        </w:tc>
        <w:tc>
          <w:tcPr>
            <w:tcW w:w="616" w:type="dxa"/>
          </w:tcPr>
          <w:p w14:paraId="72D42FFC"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35</w:t>
            </w:r>
          </w:p>
        </w:tc>
      </w:tr>
      <w:tr w:rsidR="001E4568" w:rsidRPr="001E4568" w14:paraId="2E897176" w14:textId="77777777" w:rsidTr="2C6C7817">
        <w:tc>
          <w:tcPr>
            <w:tcW w:w="2062" w:type="dxa"/>
          </w:tcPr>
          <w:p w14:paraId="6151E98A"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Versalzung</w:t>
            </w:r>
          </w:p>
        </w:tc>
        <w:tc>
          <w:tcPr>
            <w:tcW w:w="1469" w:type="dxa"/>
          </w:tcPr>
          <w:p w14:paraId="1E7937B0" w14:textId="77777777" w:rsidR="001E4568" w:rsidRPr="001E4568" w:rsidRDefault="001E4568" w:rsidP="00525540">
            <w:pPr>
              <w:jc w:val="both"/>
              <w:rPr>
                <w:rFonts w:ascii="Times New Roman" w:hAnsi="Times New Roman" w:cs="Times New Roman"/>
                <w:lang w:val="en-GB"/>
              </w:rPr>
            </w:pPr>
          </w:p>
        </w:tc>
        <w:tc>
          <w:tcPr>
            <w:tcW w:w="5615" w:type="dxa"/>
          </w:tcPr>
          <w:p w14:paraId="2B5A2BA3" w14:textId="77777777" w:rsidR="001E4568" w:rsidRPr="001E4568" w:rsidRDefault="001E4568" w:rsidP="00525540">
            <w:pPr>
              <w:jc w:val="both"/>
              <w:rPr>
                <w:rFonts w:ascii="Times New Roman" w:hAnsi="Times New Roman" w:cs="Times New Roman"/>
                <w:lang w:val="de-DE"/>
              </w:rPr>
            </w:pPr>
            <w:bookmarkStart w:id="1" w:name="_Hlk187700189"/>
            <w:r w:rsidRPr="001E4568">
              <w:rPr>
                <w:rFonts w:ascii="Times New Roman" w:hAnsi="Times New Roman" w:cs="Times New Roman"/>
                <w:lang w:val="de"/>
              </w:rPr>
              <w:t>Anhäufung von löslichen Salzen (löslicher als Gips) in den oberen Bodenschichten (salzhaltiger Boden = Boden, der so viele lösliche Salze enthält, dass er die meisten Kulturpflanzen schädigt, in der Regel 4000 μS m</w:t>
            </w:r>
            <w:r w:rsidRPr="001E4568">
              <w:rPr>
                <w:rFonts w:ascii="Times New Roman" w:hAnsi="Times New Roman" w:cs="Times New Roman"/>
                <w:vertAlign w:val="superscript"/>
                <w:lang w:val="de"/>
              </w:rPr>
              <w:t>-1</w:t>
            </w:r>
            <w:r w:rsidRPr="001E4568">
              <w:rPr>
                <w:rFonts w:ascii="Times New Roman" w:hAnsi="Times New Roman" w:cs="Times New Roman"/>
                <w:lang w:val="de"/>
              </w:rPr>
              <w:t>).</w:t>
            </w:r>
            <w:bookmarkEnd w:id="1"/>
          </w:p>
        </w:tc>
        <w:tc>
          <w:tcPr>
            <w:tcW w:w="616" w:type="dxa"/>
          </w:tcPr>
          <w:p w14:paraId="3D48D7BE"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1E4568" w:rsidRPr="001E4568" w14:paraId="3BA7821D" w14:textId="77777777" w:rsidTr="2C6C7817">
        <w:tc>
          <w:tcPr>
            <w:tcW w:w="2062" w:type="dxa"/>
          </w:tcPr>
          <w:p w14:paraId="69D282BF" w14:textId="77777777" w:rsidR="001E4568" w:rsidRPr="001E4568" w:rsidRDefault="001E4568" w:rsidP="4F734429">
            <w:pPr>
              <w:rPr>
                <w:rFonts w:ascii="Times New Roman" w:hAnsi="Times New Roman" w:cs="Times New Roman"/>
                <w:b/>
                <w:bCs/>
                <w:color w:val="3A7C22" w:themeColor="accent6" w:themeShade="BF"/>
                <w:lang w:val="en-GB"/>
              </w:rPr>
            </w:pPr>
            <w:r w:rsidRPr="001E4568">
              <w:rPr>
                <w:rFonts w:ascii="Times New Roman" w:hAnsi="Times New Roman" w:cs="Times New Roman"/>
                <w:b/>
                <w:bCs/>
                <w:color w:val="3A7C22" w:themeColor="accent6" w:themeShade="BF"/>
                <w:lang w:val="de"/>
              </w:rPr>
              <w:lastRenderedPageBreak/>
              <w:t>Versauerung</w:t>
            </w:r>
          </w:p>
        </w:tc>
        <w:tc>
          <w:tcPr>
            <w:tcW w:w="1469" w:type="dxa"/>
          </w:tcPr>
          <w:p w14:paraId="4BEED325" w14:textId="77777777" w:rsidR="001E4568" w:rsidRPr="001E4568" w:rsidRDefault="001E4568" w:rsidP="002A67F8">
            <w:pPr>
              <w:jc w:val="both"/>
              <w:rPr>
                <w:rFonts w:ascii="Times New Roman" w:hAnsi="Times New Roman" w:cs="Times New Roman"/>
                <w:lang w:val="en-GB"/>
              </w:rPr>
            </w:pPr>
          </w:p>
        </w:tc>
        <w:tc>
          <w:tcPr>
            <w:tcW w:w="5615" w:type="dxa"/>
          </w:tcPr>
          <w:p w14:paraId="242712A7" w14:textId="77777777" w:rsidR="001E4568" w:rsidRPr="001E4568" w:rsidRDefault="001E4568" w:rsidP="002A67F8">
            <w:pPr>
              <w:jc w:val="both"/>
              <w:rPr>
                <w:rFonts w:ascii="Times New Roman" w:hAnsi="Times New Roman" w:cs="Times New Roman"/>
                <w:lang w:val="de-DE"/>
              </w:rPr>
            </w:pPr>
            <w:bookmarkStart w:id="2" w:name="_Hlk187700470"/>
            <w:r w:rsidRPr="001E4568">
              <w:rPr>
                <w:rFonts w:ascii="Times New Roman" w:hAnsi="Times New Roman" w:cs="Times New Roman"/>
                <w:lang w:val="de"/>
              </w:rPr>
              <w:t>Der Prozess, bei dem die Wasserstoffionenkonzentration im Boden allmählich ansteigt, verursacht durch den Entzug leicht alkalischer Ionen zusammen mit der Ernte sowie durch Auslaugung und die Aufbringung säurebildender Stickstoffdünger (N). Dieser Prozess wird durch natürliche Bodenbestandteile, einschließlich des Ausgangsgesteins, beschleunigt bzw. unzureichend kompensiert.</w:t>
            </w:r>
            <w:bookmarkEnd w:id="2"/>
          </w:p>
        </w:tc>
        <w:tc>
          <w:tcPr>
            <w:tcW w:w="616" w:type="dxa"/>
          </w:tcPr>
          <w:p w14:paraId="0A034CD7"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3</w:t>
            </w:r>
          </w:p>
        </w:tc>
      </w:tr>
      <w:tr w:rsidR="001E4568" w:rsidRPr="001E4568" w14:paraId="7625B1A5" w14:textId="77777777" w:rsidTr="2C6C7817">
        <w:tc>
          <w:tcPr>
            <w:tcW w:w="2062" w:type="dxa"/>
          </w:tcPr>
          <w:p w14:paraId="24375A3E" w14:textId="77777777" w:rsidR="001E4568" w:rsidRPr="001E4568" w:rsidRDefault="001E4568" w:rsidP="00A655ED">
            <w:pPr>
              <w:rPr>
                <w:rFonts w:ascii="Times New Roman" w:hAnsi="Times New Roman" w:cs="Times New Roman"/>
                <w:b/>
                <w:color w:val="D86DCB" w:themeColor="accent5" w:themeTint="99"/>
                <w:lang w:val="en-GB"/>
              </w:rPr>
            </w:pPr>
            <w:r w:rsidRPr="001E4568">
              <w:rPr>
                <w:rFonts w:ascii="Times New Roman" w:hAnsi="Times New Roman" w:cs="Times New Roman"/>
                <w:b/>
                <w:color w:val="3A7C22" w:themeColor="accent6" w:themeShade="BF"/>
                <w:lang w:val="de"/>
              </w:rPr>
              <w:t>Versorgung</w:t>
            </w:r>
          </w:p>
        </w:tc>
        <w:tc>
          <w:tcPr>
            <w:tcW w:w="1469" w:type="dxa"/>
          </w:tcPr>
          <w:p w14:paraId="7A8DCFD7" w14:textId="77777777" w:rsidR="001E4568" w:rsidRPr="001E4568" w:rsidRDefault="001E4568" w:rsidP="00A655ED">
            <w:pPr>
              <w:jc w:val="both"/>
              <w:rPr>
                <w:rFonts w:ascii="Times New Roman" w:hAnsi="Times New Roman" w:cs="Times New Roman"/>
                <w:lang w:val="en-GB"/>
              </w:rPr>
            </w:pPr>
          </w:p>
        </w:tc>
        <w:tc>
          <w:tcPr>
            <w:tcW w:w="5615" w:type="dxa"/>
          </w:tcPr>
          <w:p w14:paraId="2D6B6AB6" w14:textId="77777777" w:rsidR="001E4568" w:rsidRPr="001E4568" w:rsidRDefault="001E4568" w:rsidP="00A655ED">
            <w:pPr>
              <w:jc w:val="both"/>
              <w:rPr>
                <w:rFonts w:ascii="Times New Roman" w:hAnsi="Times New Roman" w:cs="Times New Roman"/>
                <w:lang w:val="de-DE"/>
              </w:rPr>
            </w:pPr>
            <w:r w:rsidRPr="001E4568">
              <w:rPr>
                <w:rFonts w:ascii="Times New Roman" w:hAnsi="Times New Roman" w:cs="Times New Roman"/>
                <w:lang w:val="de"/>
              </w:rPr>
              <w:t>Die Bereitstellung dessen, was für die Gesundheit, das Wohlergehen, den Unterhalt und den Schutz von Menschen oder Dingen erforderlich ist. Diese Definition umfasst ein breites Spektrum an Aktivitäten und Einstellungen, die Wohlbefinden und Unterstützung fördern. Unter Versorgung werden Tätigkeiten zusammengefasst, die darauf abzielen, die Bedürfnisse jeder einzelnen Person zu erfüllen und ihre Lebensqualität zu verbessern.</w:t>
            </w:r>
          </w:p>
        </w:tc>
        <w:tc>
          <w:tcPr>
            <w:tcW w:w="616" w:type="dxa"/>
          </w:tcPr>
          <w:p w14:paraId="0CE9887C" w14:textId="77777777" w:rsidR="001E4568" w:rsidRPr="001E4568" w:rsidRDefault="001E4568" w:rsidP="00A655ED">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28, 29</w:t>
            </w:r>
          </w:p>
        </w:tc>
      </w:tr>
      <w:tr w:rsidR="001E4568" w:rsidRPr="001E4568" w14:paraId="2E4104DC" w14:textId="77777777" w:rsidTr="2C6C7817">
        <w:tc>
          <w:tcPr>
            <w:tcW w:w="2062" w:type="dxa"/>
          </w:tcPr>
          <w:p w14:paraId="1F1CF46A" w14:textId="77777777" w:rsidR="001E4568" w:rsidRPr="001E4568" w:rsidRDefault="001E4568" w:rsidP="002A67F8">
            <w:pPr>
              <w:rPr>
                <w:rFonts w:ascii="Times New Roman" w:hAnsi="Times New Roman" w:cs="Times New Roman"/>
                <w:b/>
                <w:color w:val="3A7C22" w:themeColor="accent6" w:themeShade="BF"/>
                <w:lang w:val="en-GB"/>
              </w:rPr>
            </w:pPr>
            <w:r w:rsidRPr="001E4568">
              <w:rPr>
                <w:rFonts w:ascii="Times New Roman" w:hAnsi="Times New Roman" w:cs="Times New Roman"/>
                <w:b/>
                <w:color w:val="3A7C22" w:themeColor="accent6" w:themeShade="BF"/>
                <w:lang w:val="de"/>
              </w:rPr>
              <w:t>Wüstenbildung</w:t>
            </w:r>
          </w:p>
        </w:tc>
        <w:tc>
          <w:tcPr>
            <w:tcW w:w="1469" w:type="dxa"/>
          </w:tcPr>
          <w:p w14:paraId="34D94885" w14:textId="77777777" w:rsidR="001E4568" w:rsidRPr="001E4568" w:rsidRDefault="001E4568" w:rsidP="002A67F8">
            <w:pPr>
              <w:jc w:val="both"/>
              <w:rPr>
                <w:rFonts w:ascii="Times New Roman" w:hAnsi="Times New Roman" w:cs="Times New Roman"/>
                <w:lang w:val="en-GB"/>
              </w:rPr>
            </w:pPr>
          </w:p>
        </w:tc>
        <w:tc>
          <w:tcPr>
            <w:tcW w:w="5615" w:type="dxa"/>
          </w:tcPr>
          <w:p w14:paraId="0EBFF122" w14:textId="77777777" w:rsidR="001E4568" w:rsidRPr="001E4568" w:rsidRDefault="001E4568" w:rsidP="002A67F8">
            <w:pPr>
              <w:jc w:val="both"/>
              <w:rPr>
                <w:rFonts w:ascii="Times New Roman" w:hAnsi="Times New Roman" w:cs="Times New Roman"/>
                <w:lang w:val="de-DE"/>
              </w:rPr>
            </w:pPr>
            <w:r w:rsidRPr="001E4568">
              <w:rPr>
                <w:rFonts w:ascii="Times New Roman" w:hAnsi="Times New Roman" w:cs="Times New Roman"/>
                <w:lang w:val="de"/>
              </w:rPr>
              <w:t>Der Prozess, bei dem relativ trockenes Land zunehmend austrocknet und typischerweise seinen Wasserkörper sowie die Vegetation und die Tierwelt verliert, entweder direkt durch den Klimawandel oder indirekt durch Bodendegradation infolge schlechter Bewirtschaftung.</w:t>
            </w:r>
          </w:p>
        </w:tc>
        <w:tc>
          <w:tcPr>
            <w:tcW w:w="616" w:type="dxa"/>
          </w:tcPr>
          <w:p w14:paraId="74925E85" w14:textId="77777777" w:rsidR="001E4568" w:rsidRPr="001E4568" w:rsidRDefault="001E4568" w:rsidP="002A67F8">
            <w:pPr>
              <w:rPr>
                <w:rFonts w:ascii="Times New Roman" w:hAnsi="Times New Roman" w:cs="Times New Roman"/>
                <w:color w:val="663300"/>
                <w:sz w:val="16"/>
                <w:szCs w:val="16"/>
                <w:lang w:val="en-GB"/>
              </w:rPr>
            </w:pPr>
            <w:r w:rsidRPr="001E4568">
              <w:rPr>
                <w:rFonts w:ascii="Times New Roman" w:hAnsi="Times New Roman" w:cs="Times New Roman"/>
                <w:color w:val="663300"/>
                <w:sz w:val="16"/>
                <w:szCs w:val="16"/>
                <w:lang w:val="de"/>
              </w:rPr>
              <w:t>4</w:t>
            </w:r>
          </w:p>
        </w:tc>
      </w:tr>
      <w:tr w:rsidR="00A655ED" w:rsidRPr="001E4568" w14:paraId="78697CF3" w14:textId="77777777" w:rsidTr="2C6C7817">
        <w:tc>
          <w:tcPr>
            <w:tcW w:w="2062" w:type="dxa"/>
          </w:tcPr>
          <w:p w14:paraId="1E6E5ADB" w14:textId="77777777" w:rsidR="00A655ED" w:rsidRPr="001E4568" w:rsidRDefault="00A655ED" w:rsidP="00A655ED">
            <w:pPr>
              <w:rPr>
                <w:rFonts w:ascii="Times New Roman" w:hAnsi="Times New Roman" w:cs="Times New Roman"/>
                <w:b/>
                <w:color w:val="D86DCB" w:themeColor="accent5" w:themeTint="99"/>
                <w:lang w:val="en-GB"/>
              </w:rPr>
            </w:pPr>
          </w:p>
        </w:tc>
        <w:tc>
          <w:tcPr>
            <w:tcW w:w="1469" w:type="dxa"/>
          </w:tcPr>
          <w:p w14:paraId="0AA056E2" w14:textId="77777777" w:rsidR="00A655ED" w:rsidRPr="001E4568" w:rsidRDefault="00A655ED" w:rsidP="00A655ED">
            <w:pPr>
              <w:jc w:val="both"/>
              <w:rPr>
                <w:rFonts w:ascii="Times New Roman" w:hAnsi="Times New Roman" w:cs="Times New Roman"/>
                <w:lang w:val="en-GB"/>
              </w:rPr>
            </w:pPr>
          </w:p>
        </w:tc>
        <w:tc>
          <w:tcPr>
            <w:tcW w:w="5615" w:type="dxa"/>
          </w:tcPr>
          <w:p w14:paraId="4431CEFA" w14:textId="77777777" w:rsidR="00A655ED" w:rsidRPr="001E4568" w:rsidRDefault="00A655ED" w:rsidP="00A655ED">
            <w:pPr>
              <w:jc w:val="both"/>
              <w:rPr>
                <w:rFonts w:ascii="Times New Roman" w:hAnsi="Times New Roman" w:cs="Times New Roman"/>
                <w:lang w:val="en-GB"/>
              </w:rPr>
            </w:pPr>
          </w:p>
        </w:tc>
        <w:tc>
          <w:tcPr>
            <w:tcW w:w="616" w:type="dxa"/>
          </w:tcPr>
          <w:p w14:paraId="45DE3379" w14:textId="77777777" w:rsidR="00A655ED" w:rsidRPr="001E4568" w:rsidRDefault="00A655ED" w:rsidP="00A655ED">
            <w:pPr>
              <w:rPr>
                <w:rFonts w:ascii="Times New Roman" w:hAnsi="Times New Roman" w:cs="Times New Roman"/>
                <w:color w:val="663300"/>
                <w:sz w:val="16"/>
                <w:szCs w:val="16"/>
                <w:lang w:val="en-GB"/>
              </w:rPr>
            </w:pPr>
          </w:p>
        </w:tc>
      </w:tr>
    </w:tbl>
    <w:p w14:paraId="7B4FB9C5" w14:textId="77777777" w:rsidR="00AD6E49" w:rsidRPr="001E4568" w:rsidRDefault="00AD6E49" w:rsidP="00AD6E49">
      <w:pPr>
        <w:pStyle w:val="ListParagraph"/>
        <w:spacing w:after="0"/>
        <w:ind w:left="0"/>
        <w:rPr>
          <w:rFonts w:ascii="Arial" w:hAnsi="Arial" w:cs="Arial"/>
          <w:b/>
          <w:color w:val="3A7C22" w:themeColor="accent6" w:themeShade="BF"/>
          <w:sz w:val="24"/>
          <w:szCs w:val="24"/>
          <w:lang w:val="en-GB"/>
        </w:rPr>
      </w:pPr>
    </w:p>
    <w:p w14:paraId="3C96A377" w14:textId="3F0B9E55" w:rsidR="00AD6E49" w:rsidRPr="001E4568" w:rsidRDefault="00AD6E49" w:rsidP="00AD6E49">
      <w:pPr>
        <w:pStyle w:val="ListParagraph"/>
        <w:spacing w:after="0"/>
        <w:ind w:left="0"/>
        <w:rPr>
          <w:rFonts w:ascii="Times New Roman" w:hAnsi="Times New Roman" w:cs="Times New Roman"/>
          <w:b/>
          <w:color w:val="3A7C22" w:themeColor="accent6" w:themeShade="BF"/>
          <w:sz w:val="24"/>
          <w:szCs w:val="24"/>
          <w:lang w:val="en-GB"/>
        </w:rPr>
      </w:pPr>
      <w:r w:rsidRPr="001E4568">
        <w:rPr>
          <w:rFonts w:ascii="Times New Roman" w:hAnsi="Times New Roman" w:cs="Times New Roman"/>
          <w:b/>
          <w:color w:val="3A7C22" w:themeColor="accent6" w:themeShade="BF"/>
          <w:sz w:val="24"/>
          <w:szCs w:val="24"/>
          <w:lang w:val="de"/>
        </w:rPr>
        <w:t>Quellenverzeichnis:</w:t>
      </w:r>
    </w:p>
    <w:p w14:paraId="7A09F175" w14:textId="77777777" w:rsidR="00AD6E49" w:rsidRPr="001E4568" w:rsidRDefault="00AD6E49" w:rsidP="00AD6E49">
      <w:pPr>
        <w:pStyle w:val="ListParagraph"/>
        <w:spacing w:after="0"/>
        <w:ind w:left="0"/>
        <w:rPr>
          <w:rFonts w:ascii="Times New Roman" w:hAnsi="Times New Roman" w:cs="Times New Roman"/>
          <w:b/>
          <w:color w:val="3A7C22" w:themeColor="accent6" w:themeShade="BF"/>
          <w:lang w:val="en-GB"/>
        </w:rPr>
      </w:pPr>
    </w:p>
    <w:p w14:paraId="6A80FE8D" w14:textId="2F885DAC" w:rsidR="00AD6E49" w:rsidRPr="001E4568"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The Nature-Based Solutions for Soil Management – NBSOIL EU Project, Glossary </w:t>
      </w:r>
      <w:r w:rsidR="0000609E" w:rsidRPr="001E4568">
        <w:rPr>
          <w:rFonts w:ascii="Times New Roman" w:hAnsi="Times New Roman" w:cs="Times New Roman"/>
          <w:color w:val="000000" w:themeColor="text1"/>
          <w:lang w:val="en-GB"/>
        </w:rPr>
        <w:t>available</w:t>
      </w:r>
      <w:r w:rsidRPr="001E4568">
        <w:rPr>
          <w:rFonts w:ascii="Times New Roman" w:hAnsi="Times New Roman" w:cs="Times New Roman"/>
          <w:color w:val="000000" w:themeColor="text1"/>
          <w:lang w:val="en-GB"/>
        </w:rPr>
        <w:t xml:space="preserve"> at: </w:t>
      </w:r>
      <w:hyperlink r:id="rId15" w:history="1">
        <w:r w:rsidRPr="001E4568">
          <w:rPr>
            <w:rStyle w:val="Hyperlink"/>
            <w:rFonts w:ascii="Times New Roman" w:hAnsi="Times New Roman" w:cs="Times New Roman"/>
            <w:color w:val="000000" w:themeColor="text1"/>
            <w:lang w:val="en-GB"/>
          </w:rPr>
          <w:t>https://nbsoil.eu/glossary/</w:t>
        </w:r>
      </w:hyperlink>
    </w:p>
    <w:p w14:paraId="71B25A89" w14:textId="0BECBFDB" w:rsidR="00AD6E49" w:rsidRPr="001E4568"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Soil Health Be</w:t>
      </w:r>
      <w:r w:rsidR="492994D7" w:rsidRPr="001E4568">
        <w:rPr>
          <w:rFonts w:ascii="Times New Roman" w:hAnsi="Times New Roman" w:cs="Times New Roman"/>
          <w:color w:val="000000" w:themeColor="text1"/>
          <w:lang w:val="en-GB"/>
        </w:rPr>
        <w:t>n</w:t>
      </w:r>
      <w:r w:rsidRPr="001E4568">
        <w:rPr>
          <w:rFonts w:ascii="Times New Roman" w:hAnsi="Times New Roman" w:cs="Times New Roman"/>
          <w:color w:val="000000" w:themeColor="text1"/>
          <w:lang w:val="en-GB"/>
        </w:rPr>
        <w:t xml:space="preserve">chmarks, EU Project 2022, Glossary available at: </w:t>
      </w:r>
      <w:hyperlink r:id="rId16">
        <w:r w:rsidRPr="001E4568">
          <w:rPr>
            <w:rStyle w:val="Hyperlink"/>
            <w:rFonts w:ascii="Times New Roman" w:hAnsi="Times New Roman" w:cs="Times New Roman"/>
            <w:color w:val="000000" w:themeColor="text1"/>
            <w:lang w:val="en-GB"/>
          </w:rPr>
          <w:t>https://soilhealthbenchmarks.eu/glossary/</w:t>
        </w:r>
      </w:hyperlink>
    </w:p>
    <w:p w14:paraId="62482883" w14:textId="074906C9" w:rsidR="00AD6E49" w:rsidRPr="001E4568" w:rsidRDefault="00AD6E49" w:rsidP="003B4948">
      <w:pPr>
        <w:pStyle w:val="ListParagraph"/>
        <w:numPr>
          <w:ilvl w:val="0"/>
          <w:numId w:val="1"/>
        </w:numPr>
        <w:ind w:left="426" w:hanging="426"/>
        <w:rPr>
          <w:rFonts w:ascii="Times New Roman" w:hAnsi="Times New Roman" w:cs="Times New Roman"/>
          <w:color w:val="000000" w:themeColor="text1"/>
          <w:lang w:val="en-GB"/>
        </w:rPr>
      </w:pPr>
      <w:proofErr w:type="spellStart"/>
      <w:r w:rsidRPr="001E4568">
        <w:rPr>
          <w:rFonts w:ascii="Times New Roman" w:hAnsi="Times New Roman" w:cs="Times New Roman"/>
          <w:color w:val="000000" w:themeColor="text1"/>
          <w:lang w:val="en-GB"/>
        </w:rPr>
        <w:t>SoilCare</w:t>
      </w:r>
      <w:proofErr w:type="spellEnd"/>
      <w:r w:rsidRPr="001E4568">
        <w:rPr>
          <w:rFonts w:ascii="Times New Roman" w:hAnsi="Times New Roman" w:cs="Times New Roman"/>
          <w:color w:val="000000" w:themeColor="text1"/>
          <w:lang w:val="en-GB"/>
        </w:rPr>
        <w:t xml:space="preserve"> Project (2023) Glossary. Available at: </w:t>
      </w:r>
      <w:hyperlink r:id="rId17" w:history="1">
        <w:r w:rsidRPr="001E4568">
          <w:rPr>
            <w:rStyle w:val="Hyperlink"/>
            <w:rFonts w:ascii="Times New Roman" w:hAnsi="Times New Roman" w:cs="Times New Roman"/>
            <w:color w:val="000000" w:themeColor="text1"/>
            <w:lang w:val="en-GB"/>
          </w:rPr>
          <w:t>https://www.soilcare-project.eu/resources/glossary</w:t>
        </w:r>
      </w:hyperlink>
      <w:r w:rsidRPr="001E4568">
        <w:rPr>
          <w:rFonts w:ascii="Times New Roman" w:hAnsi="Times New Roman" w:cs="Times New Roman"/>
          <w:color w:val="000000" w:themeColor="text1"/>
          <w:lang w:val="en-GB"/>
        </w:rPr>
        <w:t xml:space="preserve"> (Accessed: 28 August 2024).</w:t>
      </w:r>
    </w:p>
    <w:p w14:paraId="0547156A" w14:textId="1488E471" w:rsidR="002834EC" w:rsidRPr="001E4568" w:rsidRDefault="002834EC" w:rsidP="003B4948">
      <w:pPr>
        <w:pStyle w:val="ListParagraph"/>
        <w:numPr>
          <w:ilvl w:val="0"/>
          <w:numId w:val="1"/>
        </w:numPr>
        <w:ind w:left="426" w:hanging="426"/>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Landmark, EU Proje</w:t>
      </w:r>
      <w:r w:rsidR="00582A39" w:rsidRPr="001E4568">
        <w:rPr>
          <w:rFonts w:ascii="Times New Roman" w:hAnsi="Times New Roman" w:cs="Times New Roman"/>
          <w:color w:val="000000" w:themeColor="text1"/>
          <w:lang w:val="en-GB"/>
        </w:rPr>
        <w:t>c</w:t>
      </w:r>
      <w:r w:rsidRPr="001E4568">
        <w:rPr>
          <w:rFonts w:ascii="Times New Roman" w:hAnsi="Times New Roman" w:cs="Times New Roman"/>
          <w:color w:val="000000" w:themeColor="text1"/>
          <w:lang w:val="en-GB"/>
        </w:rPr>
        <w:t xml:space="preserve">t 2015, Glossary available at </w:t>
      </w:r>
      <w:hyperlink r:id="rId18" w:history="1">
        <w:r w:rsidRPr="001E4568">
          <w:rPr>
            <w:rStyle w:val="Hyperlink"/>
            <w:rFonts w:ascii="Times New Roman" w:hAnsi="Times New Roman" w:cs="Times New Roman"/>
            <w:color w:val="000000" w:themeColor="text1"/>
            <w:lang w:val="en-GB"/>
          </w:rPr>
          <w:t>https://landmarkproject.eu/landmark-glossary/#</w:t>
        </w:r>
      </w:hyperlink>
      <w:r w:rsidRPr="001E4568">
        <w:rPr>
          <w:rFonts w:ascii="Times New Roman" w:hAnsi="Times New Roman" w:cs="Times New Roman"/>
          <w:color w:val="000000" w:themeColor="text1"/>
          <w:lang w:val="en-GB"/>
        </w:rPr>
        <w:t xml:space="preserve"> (Accessed: 28 August 2024).</w:t>
      </w:r>
    </w:p>
    <w:p w14:paraId="130D4599" w14:textId="62B07926" w:rsidR="0021576C" w:rsidRPr="001E4568"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1E4568">
        <w:rPr>
          <w:rFonts w:ascii="Times New Roman" w:hAnsi="Times New Roman" w:cs="Times New Roman"/>
          <w:color w:val="000000" w:themeColor="text1"/>
          <w:shd w:val="clear" w:color="auto" w:fill="FFFFFF"/>
          <w:lang w:val="en-GB"/>
        </w:rPr>
        <w:t xml:space="preserve">Huntley, B.J. (2023). Soil, Water and Nutrients. In: Ecology of Angola. Springer, Cham. </w:t>
      </w:r>
      <w:hyperlink r:id="rId19" w:history="1">
        <w:r w:rsidRPr="001E4568">
          <w:rPr>
            <w:rStyle w:val="Hyperlink"/>
            <w:rFonts w:ascii="Times New Roman" w:hAnsi="Times New Roman" w:cs="Times New Roman"/>
            <w:color w:val="000000" w:themeColor="text1"/>
            <w:shd w:val="clear" w:color="auto" w:fill="FFFFFF"/>
            <w:lang w:val="de"/>
          </w:rPr>
          <w:t>https://doi.org/10.1007/978-3-031-18923-4_6</w:t>
        </w:r>
      </w:hyperlink>
      <w:r w:rsidRPr="001E4568">
        <w:rPr>
          <w:rFonts w:ascii="Times New Roman" w:hAnsi="Times New Roman" w:cs="Times New Roman"/>
          <w:color w:val="000000" w:themeColor="text1"/>
          <w:shd w:val="clear" w:color="auto" w:fill="FFFFFF"/>
          <w:lang w:val="de"/>
        </w:rPr>
        <w:t xml:space="preserve"> (</w:t>
      </w:r>
      <w:hyperlink r:id="rId20" w:anchor="citeas" w:history="1">
        <w:r w:rsidRPr="001E4568">
          <w:rPr>
            <w:rStyle w:val="Hyperlink"/>
            <w:rFonts w:ascii="Times New Roman" w:hAnsi="Times New Roman" w:cs="Times New Roman"/>
            <w:color w:val="000000" w:themeColor="text1"/>
            <w:shd w:val="clear" w:color="auto" w:fill="FFFFFF"/>
            <w:lang w:val="de"/>
          </w:rPr>
          <w:t>https://link.springer.com/chapter/10.1007/978-3-031-18923-4_6#citeas</w:t>
        </w:r>
      </w:hyperlink>
      <w:r w:rsidRPr="001E4568">
        <w:rPr>
          <w:rFonts w:ascii="Times New Roman" w:hAnsi="Times New Roman" w:cs="Times New Roman"/>
          <w:color w:val="000000" w:themeColor="text1"/>
          <w:shd w:val="clear" w:color="auto" w:fill="FFFFFF"/>
          <w:lang w:val="de"/>
        </w:rPr>
        <w:t>)</w:t>
      </w:r>
    </w:p>
    <w:p w14:paraId="7F33B9FF" w14:textId="77777777" w:rsidR="003B4948" w:rsidRPr="001E4568" w:rsidRDefault="0021576C" w:rsidP="003B4948">
      <w:pPr>
        <w:pStyle w:val="ListParagraph"/>
        <w:numPr>
          <w:ilvl w:val="0"/>
          <w:numId w:val="1"/>
        </w:numPr>
        <w:ind w:left="426" w:hanging="426"/>
        <w:rPr>
          <w:rFonts w:ascii="Times New Roman" w:hAnsi="Times New Roman" w:cs="Times New Roman"/>
          <w:color w:val="000000" w:themeColor="text1"/>
          <w:lang w:val="en-GB"/>
        </w:rPr>
      </w:pPr>
      <w:proofErr w:type="spellStart"/>
      <w:r w:rsidRPr="001E4568">
        <w:rPr>
          <w:rFonts w:ascii="Times New Roman" w:hAnsi="Times New Roman" w:cs="Times New Roman"/>
          <w:color w:val="000000" w:themeColor="text1"/>
          <w:lang w:val="en-GB"/>
        </w:rPr>
        <w:t>Radziuk</w:t>
      </w:r>
      <w:proofErr w:type="spellEnd"/>
      <w:r w:rsidRPr="001E4568">
        <w:rPr>
          <w:rFonts w:ascii="Times New Roman" w:hAnsi="Times New Roman" w:cs="Times New Roman"/>
          <w:color w:val="000000" w:themeColor="text1"/>
          <w:lang w:val="en-GB"/>
        </w:rPr>
        <w:t>, H</w:t>
      </w:r>
      <w:r w:rsidR="005A766D" w:rsidRPr="001E4568">
        <w:rPr>
          <w:rFonts w:ascii="Times New Roman" w:hAnsi="Times New Roman" w:cs="Times New Roman"/>
          <w:color w:val="000000" w:themeColor="text1"/>
          <w:lang w:val="en-GB"/>
        </w:rPr>
        <w:t>.</w:t>
      </w:r>
      <w:r w:rsidRPr="001E4568">
        <w:rPr>
          <w:rFonts w:ascii="Times New Roman" w:hAnsi="Times New Roman" w:cs="Times New Roman"/>
          <w:color w:val="000000" w:themeColor="text1"/>
          <w:lang w:val="en-GB"/>
        </w:rPr>
        <w:t xml:space="preserve">, </w:t>
      </w:r>
      <w:proofErr w:type="spellStart"/>
      <w:r w:rsidRPr="001E4568">
        <w:rPr>
          <w:rFonts w:ascii="Times New Roman" w:hAnsi="Times New Roman" w:cs="Times New Roman"/>
          <w:color w:val="000000" w:themeColor="text1"/>
          <w:lang w:val="en-GB"/>
        </w:rPr>
        <w:t>Świtoniak</w:t>
      </w:r>
      <w:proofErr w:type="spellEnd"/>
      <w:r w:rsidRPr="001E4568">
        <w:rPr>
          <w:rFonts w:ascii="Times New Roman" w:hAnsi="Times New Roman" w:cs="Times New Roman"/>
          <w:color w:val="000000" w:themeColor="text1"/>
          <w:lang w:val="en-GB"/>
        </w:rPr>
        <w:t>.</w:t>
      </w:r>
      <w:r w:rsidR="005A766D" w:rsidRPr="001E4568">
        <w:rPr>
          <w:rFonts w:ascii="Times New Roman" w:hAnsi="Times New Roman" w:cs="Times New Roman"/>
          <w:color w:val="000000" w:themeColor="text1"/>
          <w:lang w:val="en-GB"/>
        </w:rPr>
        <w:t xml:space="preserve"> M. (</w:t>
      </w:r>
      <w:r w:rsidRPr="001E4568">
        <w:rPr>
          <w:rFonts w:ascii="Times New Roman" w:hAnsi="Times New Roman" w:cs="Times New Roman"/>
          <w:color w:val="000000" w:themeColor="text1"/>
          <w:lang w:val="en-GB"/>
        </w:rPr>
        <w:t>2022</w:t>
      </w:r>
      <w:r w:rsidR="005A766D" w:rsidRPr="001E4568">
        <w:rPr>
          <w:rFonts w:ascii="Times New Roman" w:hAnsi="Times New Roman" w:cs="Times New Roman"/>
          <w:color w:val="000000" w:themeColor="text1"/>
          <w:lang w:val="en-GB"/>
        </w:rPr>
        <w:t>)</w:t>
      </w:r>
      <w:r w:rsidRPr="001E4568">
        <w:rPr>
          <w:rFonts w:ascii="Times New Roman" w:hAnsi="Times New Roman" w:cs="Times New Roman"/>
          <w:color w:val="000000" w:themeColor="text1"/>
          <w:lang w:val="en-GB"/>
        </w:rPr>
        <w:t>. The Effect of Erosional Transformation of Soil Cover on the Stability of Soil Aggregates within Young Hummocky Moraine Landscapes in Northern Poland</w:t>
      </w:r>
      <w:r w:rsidR="005A766D" w:rsidRPr="001E4568">
        <w:rPr>
          <w:rFonts w:ascii="Times New Roman" w:hAnsi="Times New Roman" w:cs="Times New Roman"/>
          <w:color w:val="000000" w:themeColor="text1"/>
          <w:lang w:val="en-GB"/>
        </w:rPr>
        <w:t>.</w:t>
      </w:r>
      <w:r w:rsidRPr="001E4568">
        <w:rPr>
          <w:rFonts w:ascii="Times New Roman" w:hAnsi="Times New Roman" w:cs="Times New Roman"/>
          <w:color w:val="000000" w:themeColor="text1"/>
          <w:lang w:val="en-GB"/>
        </w:rPr>
        <w:t xml:space="preserve"> </w:t>
      </w:r>
      <w:r w:rsidRPr="001E4568">
        <w:rPr>
          <w:rFonts w:ascii="Times New Roman" w:hAnsi="Times New Roman" w:cs="Times New Roman"/>
          <w:color w:val="000000" w:themeColor="text1"/>
          <w:lang w:val="de"/>
        </w:rPr>
        <w:t xml:space="preserve">Agronomy 12, no. 11: 2595. </w:t>
      </w:r>
      <w:r w:rsidR="005A766D" w:rsidRPr="001E4568">
        <w:fldChar w:fldCharType="begin"/>
      </w:r>
      <w:r w:rsidR="005A766D" w:rsidRPr="001E4568">
        <w:instrText>HYPERLINK "https://doi.org/10.3390/agronomy12112595"</w:instrText>
      </w:r>
      <w:r w:rsidR="005A766D" w:rsidRPr="001E4568">
        <w:fldChar w:fldCharType="separate"/>
      </w:r>
      <w:r w:rsidR="005A766D" w:rsidRPr="001E4568">
        <w:rPr>
          <w:rStyle w:val="Hyperlink"/>
          <w:rFonts w:ascii="Times New Roman" w:hAnsi="Times New Roman" w:cs="Times New Roman"/>
          <w:color w:val="000000" w:themeColor="text1"/>
          <w:lang w:val="de"/>
        </w:rPr>
        <w:t>https://doi.org/10.3390/agronomy12112595</w:t>
      </w:r>
      <w:r w:rsidR="005A766D" w:rsidRPr="001E4568">
        <w:fldChar w:fldCharType="end"/>
      </w:r>
      <w:r w:rsidR="00767523" w:rsidRPr="001E4568">
        <w:rPr>
          <w:rFonts w:ascii="Times New Roman" w:hAnsi="Times New Roman" w:cs="Times New Roman"/>
          <w:color w:val="000000" w:themeColor="text1"/>
          <w:lang w:val="de"/>
        </w:rPr>
        <w:t>.</w:t>
      </w:r>
    </w:p>
    <w:p w14:paraId="7E736D69" w14:textId="1FB53DF2" w:rsidR="00767523" w:rsidRPr="001E4568" w:rsidRDefault="00C60A38" w:rsidP="003B4948">
      <w:pPr>
        <w:pStyle w:val="ListParagraph"/>
        <w:numPr>
          <w:ilvl w:val="0"/>
          <w:numId w:val="1"/>
        </w:numPr>
        <w:ind w:left="426" w:hanging="426"/>
        <w:jc w:val="both"/>
        <w:rPr>
          <w:rFonts w:ascii="Times New Roman" w:hAnsi="Times New Roman" w:cs="Times New Roman"/>
          <w:color w:val="000000" w:themeColor="text1"/>
          <w:lang w:val="en-GB"/>
        </w:rPr>
      </w:pPr>
      <w:proofErr w:type="spellStart"/>
      <w:r w:rsidRPr="001E4568">
        <w:rPr>
          <w:rFonts w:ascii="Times New Roman" w:hAnsi="Times New Roman" w:cs="Times New Roman"/>
          <w:color w:val="000000" w:themeColor="text1"/>
          <w:lang w:val="en-GB"/>
        </w:rPr>
        <w:t>Hoorman</w:t>
      </w:r>
      <w:proofErr w:type="spellEnd"/>
      <w:r w:rsidRPr="001E4568">
        <w:rPr>
          <w:rFonts w:ascii="Times New Roman" w:hAnsi="Times New Roman" w:cs="Times New Roman"/>
          <w:color w:val="000000" w:themeColor="text1"/>
          <w:lang w:val="en-GB"/>
        </w:rPr>
        <w:t xml:space="preserve">, J., Reeder, R., Sundermeier, A., Islam R., Aziz, I., </w:t>
      </w:r>
      <w:r w:rsidR="001A43DB" w:rsidRPr="001E4568">
        <w:rPr>
          <w:rFonts w:ascii="Times New Roman" w:hAnsi="Times New Roman" w:cs="Times New Roman"/>
          <w:color w:val="000000" w:themeColor="text1"/>
          <w:lang w:val="en-GB"/>
        </w:rPr>
        <w:t xml:space="preserve">(2012). </w:t>
      </w:r>
      <w:r w:rsidRPr="001E4568">
        <w:rPr>
          <w:rFonts w:ascii="Times New Roman" w:hAnsi="Times New Roman" w:cs="Times New Roman"/>
          <w:color w:val="000000" w:themeColor="text1"/>
          <w:lang w:val="en-GB"/>
        </w:rPr>
        <w:t>Soil Terminology and Definitions, Ohio State University</w:t>
      </w:r>
      <w:r w:rsidR="001A43DB" w:rsidRPr="001E4568">
        <w:rPr>
          <w:rFonts w:ascii="Times New Roman" w:hAnsi="Times New Roman" w:cs="Times New Roman"/>
          <w:color w:val="000000" w:themeColor="text1"/>
          <w:lang w:val="en-GB"/>
        </w:rPr>
        <w:t xml:space="preserve"> extension</w:t>
      </w:r>
      <w:r w:rsidRPr="001E4568">
        <w:rPr>
          <w:rFonts w:ascii="Times New Roman" w:hAnsi="Times New Roman" w:cs="Times New Roman"/>
          <w:color w:val="000000" w:themeColor="text1"/>
          <w:lang w:val="en-GB"/>
        </w:rPr>
        <w:t xml:space="preserve">. </w:t>
      </w:r>
      <w:hyperlink r:id="rId21" w:history="1">
        <w:r w:rsidR="001A43DB" w:rsidRPr="001E4568">
          <w:rPr>
            <w:rStyle w:val="Hyperlink"/>
            <w:rFonts w:ascii="Times New Roman" w:hAnsi="Times New Roman" w:cs="Times New Roman"/>
            <w:lang w:val="de"/>
          </w:rPr>
          <w:t>https://ohioline.osu.edu/factsheet/SAG-19</w:t>
        </w:r>
      </w:hyperlink>
      <w:r w:rsidR="001A43DB" w:rsidRPr="001E4568">
        <w:rPr>
          <w:rFonts w:ascii="Times New Roman" w:hAnsi="Times New Roman" w:cs="Times New Roman"/>
          <w:color w:val="000000" w:themeColor="text1"/>
          <w:lang w:val="de"/>
        </w:rPr>
        <w:t xml:space="preserve"> (Acces</w:t>
      </w:r>
      <w:r w:rsidR="0000609E" w:rsidRPr="001E4568">
        <w:rPr>
          <w:rFonts w:ascii="Times New Roman" w:hAnsi="Times New Roman" w:cs="Times New Roman"/>
          <w:color w:val="000000" w:themeColor="text1"/>
          <w:lang w:val="de"/>
        </w:rPr>
        <w:t>s</w:t>
      </w:r>
      <w:r w:rsidR="001A43DB" w:rsidRPr="001E4568">
        <w:rPr>
          <w:rFonts w:ascii="Times New Roman" w:hAnsi="Times New Roman" w:cs="Times New Roman"/>
          <w:color w:val="000000" w:themeColor="text1"/>
          <w:lang w:val="de"/>
        </w:rPr>
        <w:t>ed: 29 august 2024)</w:t>
      </w:r>
    </w:p>
    <w:p w14:paraId="2D394610" w14:textId="77777777" w:rsidR="003B4948" w:rsidRPr="001E4568"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1E4568">
        <w:rPr>
          <w:rFonts w:ascii="Times New Roman" w:hAnsi="Times New Roman" w:cs="Times New Roman"/>
          <w:color w:val="000000" w:themeColor="text1"/>
          <w:lang w:val="de-DE"/>
        </w:rPr>
        <w:t>Nahm, M., &amp; Morhart, C. (2017). Multifunktionalität und Vielfalt von Agroforstwirtschaft. Bäume in der Land(wirt)schaft–von der Theorie in die Praxis, 17-24.</w:t>
      </w:r>
    </w:p>
    <w:p w14:paraId="0941A377" w14:textId="77777777" w:rsidR="003B4948" w:rsidRPr="001E4568" w:rsidRDefault="003B4948" w:rsidP="003B4948">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de-DE"/>
        </w:rPr>
        <w:t xml:space="preserve">Möller, A. &amp; Höper, H. (2015). Bewertung des Einsatzes von Biokohle in der Landwirtschaft aus Sicht des Bodenschutzes. </w:t>
      </w:r>
      <w:r w:rsidRPr="001E4568">
        <w:rPr>
          <w:rFonts w:ascii="Times New Roman" w:hAnsi="Times New Roman" w:cs="Times New Roman"/>
          <w:color w:val="000000" w:themeColor="text1"/>
          <w:lang w:val="de"/>
        </w:rPr>
        <w:t>Hannover, Landesamt für Bergbau, Energie und Geologie.</w:t>
      </w:r>
    </w:p>
    <w:p w14:paraId="3628C2EE" w14:textId="77777777" w:rsidR="003B4948" w:rsidRPr="001E4568"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1E4568">
        <w:rPr>
          <w:rFonts w:ascii="Times New Roman" w:hAnsi="Times New Roman" w:cs="Times New Roman"/>
          <w:color w:val="000000" w:themeColor="text1"/>
          <w:lang w:val="de-DE"/>
        </w:rPr>
        <w:t>Möller, K., Sauter, G., Mann, T., Flaig, H., &amp; Breuer, J. (2022). Wissenschaftliche Bewertung der Methoden der Regenerativen Landwirtschaft. In Conference (Vol. 132, pp. 107-117).</w:t>
      </w:r>
    </w:p>
    <w:p w14:paraId="54CAEEDD" w14:textId="1165EE68" w:rsidR="006D24D6" w:rsidRPr="001E4568"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European Coordination Via Campesina (2016). </w:t>
      </w:r>
      <w:r w:rsidRPr="001E4568">
        <w:rPr>
          <w:rFonts w:ascii="Times New Roman" w:hAnsi="Times New Roman" w:cs="Times New Roman"/>
          <w:lang w:val="en-GB"/>
        </w:rPr>
        <w:t>How do we define Land Grabbing?</w:t>
      </w:r>
      <w:r w:rsidRPr="001E4568">
        <w:rPr>
          <w:rFonts w:ascii="Times New Roman" w:hAnsi="Times New Roman" w:cs="Times New Roman"/>
          <w:color w:val="000000" w:themeColor="text1"/>
          <w:lang w:val="en-GB"/>
        </w:rPr>
        <w:t xml:space="preserve"> </w:t>
      </w:r>
      <w:hyperlink r:id="rId22" w:history="1">
        <w:r w:rsidRPr="001E4568">
          <w:rPr>
            <w:rStyle w:val="Hyperlink"/>
            <w:rFonts w:ascii="Times New Roman" w:hAnsi="Times New Roman" w:cs="Times New Roman"/>
            <w:lang w:val="en-GB"/>
          </w:rPr>
          <w:t>https://www.eurovia.org/wp-content/uploads/2016/11/defining-land-grabs.pdf</w:t>
        </w:r>
      </w:hyperlink>
      <w:r w:rsidRPr="001E4568">
        <w:rPr>
          <w:rFonts w:ascii="Times New Roman" w:hAnsi="Times New Roman" w:cs="Times New Roman"/>
          <w:color w:val="000000" w:themeColor="text1"/>
          <w:lang w:val="en-GB"/>
        </w:rPr>
        <w:t xml:space="preserve"> </w:t>
      </w:r>
      <w:bookmarkStart w:id="3" w:name="_Hlk180704550"/>
      <w:r w:rsidRPr="001E4568">
        <w:rPr>
          <w:rFonts w:ascii="Times New Roman" w:hAnsi="Times New Roman" w:cs="Times New Roman"/>
          <w:color w:val="000000" w:themeColor="text1"/>
          <w:lang w:val="en-GB"/>
        </w:rPr>
        <w:t>(Acces</w:t>
      </w:r>
      <w:r w:rsidR="0000609E" w:rsidRPr="001E4568">
        <w:rPr>
          <w:rFonts w:ascii="Times New Roman" w:hAnsi="Times New Roman" w:cs="Times New Roman"/>
          <w:color w:val="000000" w:themeColor="text1"/>
          <w:lang w:val="en-GB"/>
        </w:rPr>
        <w:t>s</w:t>
      </w:r>
      <w:r w:rsidRPr="001E4568">
        <w:rPr>
          <w:rFonts w:ascii="Times New Roman" w:hAnsi="Times New Roman" w:cs="Times New Roman"/>
          <w:color w:val="000000" w:themeColor="text1"/>
          <w:lang w:val="en-GB"/>
        </w:rPr>
        <w:t>ed:</w:t>
      </w:r>
      <w:r w:rsidR="00262263" w:rsidRPr="001E4568">
        <w:rPr>
          <w:rFonts w:ascii="Times New Roman" w:hAnsi="Times New Roman" w:cs="Times New Roman"/>
          <w:color w:val="000000" w:themeColor="text1"/>
          <w:lang w:val="en-GB"/>
        </w:rPr>
        <w:t xml:space="preserve"> </w:t>
      </w:r>
      <w:r w:rsidRPr="001E4568">
        <w:rPr>
          <w:rFonts w:ascii="Times New Roman" w:hAnsi="Times New Roman" w:cs="Times New Roman"/>
          <w:color w:val="000000" w:themeColor="text1"/>
          <w:lang w:val="en-GB"/>
        </w:rPr>
        <w:t>6.10.2024)</w:t>
      </w:r>
      <w:bookmarkEnd w:id="3"/>
    </w:p>
    <w:p w14:paraId="083A7C4A" w14:textId="18ECFB56" w:rsidR="006D24D6" w:rsidRPr="001E4568"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proofErr w:type="spellStart"/>
      <w:r w:rsidRPr="001E4568">
        <w:rPr>
          <w:rFonts w:ascii="Times New Roman" w:hAnsi="Times New Roman" w:cs="Times New Roman"/>
          <w:color w:val="000000" w:themeColor="text1"/>
          <w:lang w:val="en-GB"/>
        </w:rPr>
        <w:lastRenderedPageBreak/>
        <w:t>Kopittke</w:t>
      </w:r>
      <w:proofErr w:type="spellEnd"/>
      <w:r w:rsidRPr="001E4568">
        <w:rPr>
          <w:rFonts w:ascii="Times New Roman" w:hAnsi="Times New Roman" w:cs="Times New Roman"/>
          <w:color w:val="000000" w:themeColor="text1"/>
          <w:lang w:val="en-GB"/>
        </w:rPr>
        <w:t xml:space="preserve">, P. M., </w:t>
      </w:r>
      <w:proofErr w:type="spellStart"/>
      <w:r w:rsidRPr="001E4568">
        <w:rPr>
          <w:rFonts w:ascii="Times New Roman" w:hAnsi="Times New Roman" w:cs="Times New Roman"/>
          <w:color w:val="000000" w:themeColor="text1"/>
          <w:lang w:val="en-GB"/>
        </w:rPr>
        <w:t>Minasny</w:t>
      </w:r>
      <w:proofErr w:type="spellEnd"/>
      <w:r w:rsidRPr="001E4568">
        <w:rPr>
          <w:rFonts w:ascii="Times New Roman" w:hAnsi="Times New Roman" w:cs="Times New Roman"/>
          <w:color w:val="000000" w:themeColor="text1"/>
          <w:lang w:val="en-GB"/>
        </w:rPr>
        <w:t xml:space="preserve">, B., </w:t>
      </w:r>
      <w:proofErr w:type="spellStart"/>
      <w:r w:rsidRPr="001E4568">
        <w:rPr>
          <w:rFonts w:ascii="Times New Roman" w:hAnsi="Times New Roman" w:cs="Times New Roman"/>
          <w:color w:val="000000" w:themeColor="text1"/>
          <w:lang w:val="en-GB"/>
        </w:rPr>
        <w:t>Pendall</w:t>
      </w:r>
      <w:proofErr w:type="spellEnd"/>
      <w:r w:rsidRPr="001E4568">
        <w:rPr>
          <w:rFonts w:ascii="Times New Roman" w:hAnsi="Times New Roman" w:cs="Times New Roman"/>
          <w:color w:val="000000" w:themeColor="text1"/>
          <w:lang w:val="en-GB"/>
        </w:rPr>
        <w:t xml:space="preserve">, E., Rumpel, C., &amp; McKenna, B. A. (2023). Healthy soil for healthy humans and a healthy planet. Critical Reviews in Environmental Science and Technology, 54(3), 210–221. </w:t>
      </w:r>
      <w:hyperlink r:id="rId23" w:history="1">
        <w:r w:rsidRPr="001E4568">
          <w:rPr>
            <w:rStyle w:val="Hyperlink"/>
            <w:rFonts w:ascii="Times New Roman" w:hAnsi="Times New Roman" w:cs="Times New Roman"/>
            <w:lang w:val="de"/>
          </w:rPr>
          <w:t>https://doi.org/10.1080/10643389.2023.2228651</w:t>
        </w:r>
      </w:hyperlink>
      <w:r w:rsidRPr="001E4568">
        <w:rPr>
          <w:rFonts w:ascii="Times New Roman" w:hAnsi="Times New Roman" w:cs="Times New Roman"/>
          <w:color w:val="000000" w:themeColor="text1"/>
          <w:lang w:val="de"/>
        </w:rPr>
        <w:t>.</w:t>
      </w:r>
    </w:p>
    <w:p w14:paraId="46BEDADB" w14:textId="3F3CC20B" w:rsidR="00E03E8D" w:rsidRPr="001E4568" w:rsidRDefault="00E03E8D" w:rsidP="003B4948">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NSRI Staff (2011). Glossary of Soil-Related Terms. </w:t>
      </w:r>
      <w:r w:rsidRPr="001E4568">
        <w:rPr>
          <w:rFonts w:ascii="Times New Roman" w:hAnsi="Times New Roman" w:cs="Times New Roman"/>
          <w:color w:val="000000" w:themeColor="text1"/>
          <w:lang w:val="de"/>
        </w:rPr>
        <w:t>9pp. NSRI, Cranfield University, UK,</w:t>
      </w:r>
      <w:r w:rsidRPr="001E4568">
        <w:rPr>
          <w:lang w:val="de"/>
        </w:rPr>
        <w:t xml:space="preserve"> </w:t>
      </w:r>
      <w:hyperlink r:id="rId24" w:history="1">
        <w:r w:rsidRPr="001E4568">
          <w:rPr>
            <w:rStyle w:val="Hyperlink"/>
            <w:rFonts w:ascii="Times New Roman" w:hAnsi="Times New Roman" w:cs="Times New Roman"/>
            <w:lang w:val="de"/>
          </w:rPr>
          <w:t>https://www.landis.org.uk/downloads/downloads/Glossary.pdf</w:t>
        </w:r>
      </w:hyperlink>
    </w:p>
    <w:p w14:paraId="22DED156" w14:textId="77777777" w:rsidR="00DD73DC" w:rsidRPr="001E4568" w:rsidRDefault="00DD73DC" w:rsidP="003B4948">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da-DK"/>
        </w:rPr>
        <w:t xml:space="preserve">Reiff, J., Jungkunst, H.F., Mauser, K.M. et al. </w:t>
      </w:r>
      <w:r w:rsidRPr="001E4568">
        <w:rPr>
          <w:rFonts w:ascii="Times New Roman" w:hAnsi="Times New Roman" w:cs="Times New Roman"/>
          <w:color w:val="000000" w:themeColor="text1"/>
          <w:lang w:val="en-GB"/>
        </w:rPr>
        <w:t xml:space="preserve">(2024). Permaculture enhances carbon stocks, soil quality and biodiversity in Central Europe. </w:t>
      </w:r>
      <w:r w:rsidRPr="001E4568">
        <w:rPr>
          <w:rFonts w:ascii="Times New Roman" w:hAnsi="Times New Roman" w:cs="Times New Roman"/>
          <w:color w:val="000000" w:themeColor="text1"/>
          <w:lang w:val="de"/>
        </w:rPr>
        <w:t xml:space="preserve">Commun Earth Environ 5, 305. </w:t>
      </w:r>
      <w:r w:rsidRPr="001E4568">
        <w:fldChar w:fldCharType="begin"/>
      </w:r>
      <w:r w:rsidRPr="001E4568">
        <w:instrText>HYPERLINK "https://doi.org/10.1038/s43247-024-01405-8"</w:instrText>
      </w:r>
      <w:r w:rsidRPr="001E4568">
        <w:fldChar w:fldCharType="separate"/>
      </w:r>
      <w:r w:rsidRPr="001E4568">
        <w:rPr>
          <w:rStyle w:val="Hyperlink"/>
          <w:rFonts w:ascii="Times New Roman" w:hAnsi="Times New Roman" w:cs="Times New Roman"/>
          <w:lang w:val="de"/>
        </w:rPr>
        <w:t>https://doi.org/10.1038/s43247-024-01405-8</w:t>
      </w:r>
      <w:r w:rsidRPr="001E4568">
        <w:fldChar w:fldCharType="end"/>
      </w:r>
      <w:r w:rsidRPr="001E4568">
        <w:rPr>
          <w:rFonts w:ascii="Times New Roman" w:hAnsi="Times New Roman" w:cs="Times New Roman"/>
          <w:color w:val="000000" w:themeColor="text1"/>
          <w:lang w:val="de"/>
        </w:rPr>
        <w:t xml:space="preserve">. </w:t>
      </w:r>
    </w:p>
    <w:p w14:paraId="5911988C" w14:textId="5672D5D4" w:rsidR="003F1C18" w:rsidRPr="001E4568" w:rsidRDefault="003F1C18" w:rsidP="003B4948">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pl-PL"/>
        </w:rPr>
        <w:t xml:space="preserve">Bednarek, R., Skiba, S. (2015). Czynniki i procesy glebotwórcze. </w:t>
      </w:r>
      <w:r w:rsidRPr="001E4568">
        <w:rPr>
          <w:rFonts w:ascii="Times New Roman" w:hAnsi="Times New Roman" w:cs="Times New Roman"/>
          <w:color w:val="000000" w:themeColor="text1"/>
          <w:lang w:val="de"/>
        </w:rPr>
        <w:t>Chapt 3 in: Mocek A. (Ed). Gleboznawstwo. PWN, Warszawa, Poland.</w:t>
      </w:r>
    </w:p>
    <w:p w14:paraId="13161791" w14:textId="77777777" w:rsidR="002A67F8" w:rsidRPr="001E4568" w:rsidRDefault="00AF434D"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W.E.H. Blum, W.E.H., Schad, P., Nortcliff, S. (2018). Essentials of soil science. </w:t>
      </w:r>
      <w:r w:rsidRPr="001E4568">
        <w:rPr>
          <w:rFonts w:ascii="Times New Roman" w:hAnsi="Times New Roman" w:cs="Times New Roman"/>
          <w:color w:val="000000" w:themeColor="text1"/>
          <w:lang w:val="de"/>
        </w:rPr>
        <w:t>Borntraeger Science Publishers, Stuttgart.</w:t>
      </w:r>
    </w:p>
    <w:p w14:paraId="5192CDF2" w14:textId="10D24064" w:rsidR="00AE11B5" w:rsidRPr="001E4568"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pl-PL"/>
        </w:rPr>
        <w:t xml:space="preserve">Kocira, A., Staniak, M., Tomaszewska, M., Kornas, R., Cymerman, J., Panasiewicz, K., &amp; Lipińska, H. (2020). </w:t>
      </w:r>
      <w:r w:rsidRPr="001E4568">
        <w:rPr>
          <w:rFonts w:ascii="Times New Roman" w:hAnsi="Times New Roman" w:cs="Times New Roman"/>
          <w:color w:val="000000" w:themeColor="text1"/>
          <w:lang w:val="en-GB"/>
        </w:rPr>
        <w:t xml:space="preserve">Legume Cover Crops as One of the Elements of Strategic Weed Management and Soil Quality Improvement. </w:t>
      </w:r>
      <w:r w:rsidRPr="001E4568">
        <w:rPr>
          <w:rFonts w:ascii="Times New Roman" w:hAnsi="Times New Roman" w:cs="Times New Roman"/>
          <w:color w:val="000000" w:themeColor="text1"/>
          <w:lang w:val="de"/>
        </w:rPr>
        <w:t>A Review. Agriculture. DOI:</w:t>
      </w:r>
      <w:r w:rsidRPr="001E4568">
        <w:rPr>
          <w:lang w:val="de"/>
        </w:rPr>
        <w:t xml:space="preserve"> </w:t>
      </w:r>
      <w:hyperlink r:id="rId25" w:history="1">
        <w:r w:rsidRPr="001E4568">
          <w:rPr>
            <w:rStyle w:val="Hyperlink"/>
            <w:rFonts w:ascii="Times New Roman" w:hAnsi="Times New Roman" w:cs="Times New Roman"/>
            <w:lang w:val="de"/>
          </w:rPr>
          <w:t>https://doi.org/10.3390/agriculture10090394</w:t>
        </w:r>
      </w:hyperlink>
      <w:r w:rsidRPr="001E4568">
        <w:rPr>
          <w:rFonts w:ascii="Times New Roman" w:hAnsi="Times New Roman" w:cs="Times New Roman"/>
          <w:color w:val="000000" w:themeColor="text1"/>
          <w:lang w:val="de"/>
        </w:rPr>
        <w:t>.</w:t>
      </w:r>
    </w:p>
    <w:p w14:paraId="07F3A691" w14:textId="0E81F9B7" w:rsidR="00AE11B5" w:rsidRPr="001E4568"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Sharma, P., Singh, A., Kahlon, C.S., Brar, A.S., Grover, K., Dia, M., &amp; Steiner, R.L. (2018). The Role of Cover Crops towards Sustainable Soil Health and Agriculture—A Review Paper. American Journal of Plant Sciences, 09, 1935-1951. DOI: </w:t>
      </w:r>
      <w:hyperlink r:id="rId26" w:history="1">
        <w:r w:rsidRPr="001E4568">
          <w:rPr>
            <w:rStyle w:val="Hyperlink"/>
            <w:rFonts w:ascii="Times New Roman" w:hAnsi="Times New Roman" w:cs="Times New Roman"/>
            <w:lang w:val="en-GB"/>
          </w:rPr>
          <w:t>https://doi.org/10.4236/AJPS.2018.99140</w:t>
        </w:r>
      </w:hyperlink>
      <w:r w:rsidRPr="001E4568">
        <w:rPr>
          <w:rFonts w:ascii="Times New Roman" w:hAnsi="Times New Roman" w:cs="Times New Roman"/>
          <w:color w:val="000000" w:themeColor="text1"/>
          <w:lang w:val="en-GB"/>
        </w:rPr>
        <w:t>.</w:t>
      </w:r>
    </w:p>
    <w:p w14:paraId="2949C080" w14:textId="77777777" w:rsidR="00B54C32" w:rsidRPr="001E4568"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Molles, M. C. (2016). Ecology: concepts and applications. Seventh edition. New York, NY, McGraw-Hill Education.</w:t>
      </w:r>
    </w:p>
    <w:p w14:paraId="0D6AAE58" w14:textId="77777777" w:rsidR="00A561D2" w:rsidRPr="001E4568" w:rsidRDefault="00A561D2"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Cunningham, W.P., and Cunningham</w:t>
      </w:r>
      <w:r w:rsidR="00B54C32" w:rsidRPr="001E4568">
        <w:rPr>
          <w:rFonts w:ascii="Times New Roman" w:hAnsi="Times New Roman" w:cs="Times New Roman"/>
          <w:color w:val="000000" w:themeColor="text1"/>
          <w:lang w:val="en-GB"/>
        </w:rPr>
        <w:t>, M.A. (2002).</w:t>
      </w:r>
      <w:r w:rsidRPr="001E4568">
        <w:rPr>
          <w:rFonts w:ascii="Times New Roman" w:hAnsi="Times New Roman" w:cs="Times New Roman"/>
          <w:color w:val="000000" w:themeColor="text1"/>
          <w:lang w:val="en-GB"/>
        </w:rPr>
        <w:t xml:space="preserve"> Principles of Environmental Science: Inquiry and Applications. </w:t>
      </w:r>
      <w:r w:rsidRPr="001E4568">
        <w:rPr>
          <w:rFonts w:ascii="Times New Roman" w:hAnsi="Times New Roman" w:cs="Times New Roman"/>
          <w:color w:val="000000" w:themeColor="text1"/>
          <w:lang w:val="de"/>
        </w:rPr>
        <w:t>McGraw-Hill.</w:t>
      </w:r>
    </w:p>
    <w:p w14:paraId="50AF1027" w14:textId="0CA233CB" w:rsidR="00B54C32" w:rsidRPr="001E4568"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Diekmann, M., Andres, C., Becker, T., Bennie, J.J., Blüml, V., Bullock, J.M., Culmsee, H., </w:t>
      </w:r>
      <w:proofErr w:type="spellStart"/>
      <w:r w:rsidRPr="001E4568">
        <w:rPr>
          <w:rFonts w:ascii="Times New Roman" w:hAnsi="Times New Roman" w:cs="Times New Roman"/>
          <w:color w:val="000000" w:themeColor="text1"/>
          <w:lang w:val="en-GB"/>
        </w:rPr>
        <w:t>Fanigliulo</w:t>
      </w:r>
      <w:proofErr w:type="spellEnd"/>
      <w:r w:rsidRPr="001E4568">
        <w:rPr>
          <w:rFonts w:ascii="Times New Roman" w:hAnsi="Times New Roman" w:cs="Times New Roman"/>
          <w:color w:val="000000" w:themeColor="text1"/>
          <w:lang w:val="en-GB"/>
        </w:rPr>
        <w:t xml:space="preserve">, M., Hahn, A., </w:t>
      </w:r>
      <w:proofErr w:type="spellStart"/>
      <w:r w:rsidRPr="001E4568">
        <w:rPr>
          <w:rFonts w:ascii="Times New Roman" w:hAnsi="Times New Roman" w:cs="Times New Roman"/>
          <w:color w:val="000000" w:themeColor="text1"/>
          <w:lang w:val="en-GB"/>
        </w:rPr>
        <w:t>Heinken</w:t>
      </w:r>
      <w:proofErr w:type="spellEnd"/>
      <w:r w:rsidRPr="001E4568">
        <w:rPr>
          <w:rFonts w:ascii="Times New Roman" w:hAnsi="Times New Roman" w:cs="Times New Roman"/>
          <w:color w:val="000000" w:themeColor="text1"/>
          <w:lang w:val="en-GB"/>
        </w:rPr>
        <w:t>, T., Leuschner, C., Luka, S., Meissner, J., Müller, J., Newton, A.C., Peppler‐</w:t>
      </w:r>
      <w:proofErr w:type="spellStart"/>
      <w:r w:rsidRPr="001E4568">
        <w:rPr>
          <w:rFonts w:ascii="Times New Roman" w:hAnsi="Times New Roman" w:cs="Times New Roman"/>
          <w:color w:val="000000" w:themeColor="text1"/>
          <w:lang w:val="en-GB"/>
        </w:rPr>
        <w:t>Lisbach</w:t>
      </w:r>
      <w:proofErr w:type="spellEnd"/>
      <w:r w:rsidRPr="001E4568">
        <w:rPr>
          <w:rFonts w:ascii="Times New Roman" w:hAnsi="Times New Roman" w:cs="Times New Roman"/>
          <w:color w:val="000000" w:themeColor="text1"/>
          <w:lang w:val="en-GB"/>
        </w:rPr>
        <w:t xml:space="preserve">, C., Rosenthal, G., van den Berg, L.J., Vergeer, P., &amp; Wesche, K. (2019). Patterns of long‐term vegetation change vary between different types of semi‐natural grasslands in Western and Central Europe. </w:t>
      </w:r>
      <w:r w:rsidRPr="001E4568">
        <w:rPr>
          <w:rFonts w:ascii="Times New Roman" w:hAnsi="Times New Roman" w:cs="Times New Roman"/>
          <w:color w:val="000000" w:themeColor="text1"/>
          <w:lang w:val="de"/>
        </w:rPr>
        <w:t>Journal of Vegetation Science, 30, 187–202.</w:t>
      </w:r>
      <w:r w:rsidR="0000122B" w:rsidRPr="001E4568">
        <w:rPr>
          <w:rFonts w:ascii="Times New Roman" w:hAnsi="Times New Roman" w:cs="Times New Roman"/>
          <w:color w:val="000000" w:themeColor="text1"/>
          <w:lang w:val="de"/>
        </w:rPr>
        <w:t xml:space="preserve"> DOI:</w:t>
      </w:r>
      <w:r w:rsidR="0000122B" w:rsidRPr="001E4568">
        <w:rPr>
          <w:rFonts w:ascii="Times New Roman" w:hAnsi="Times New Roman" w:cs="Times New Roman"/>
          <w:lang w:val="de"/>
        </w:rPr>
        <w:t xml:space="preserve"> </w:t>
      </w:r>
      <w:hyperlink r:id="rId27" w:history="1">
        <w:r w:rsidR="0000122B" w:rsidRPr="001E4568">
          <w:rPr>
            <w:rStyle w:val="Hyperlink"/>
            <w:rFonts w:ascii="Times New Roman" w:hAnsi="Times New Roman" w:cs="Times New Roman"/>
            <w:lang w:val="de"/>
          </w:rPr>
          <w:t>https://doi.org/10.1111/jvs.12727</w:t>
        </w:r>
      </w:hyperlink>
      <w:r w:rsidR="0000122B" w:rsidRPr="001E4568">
        <w:rPr>
          <w:rFonts w:ascii="Times New Roman" w:hAnsi="Times New Roman" w:cs="Times New Roman"/>
          <w:color w:val="000000" w:themeColor="text1"/>
          <w:lang w:val="de"/>
        </w:rPr>
        <w:t>.</w:t>
      </w:r>
    </w:p>
    <w:p w14:paraId="670B8C1F" w14:textId="45A9A240" w:rsidR="0000122B" w:rsidRPr="001E4568" w:rsidRDefault="0000122B"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Medina-Álvarez, E., and Sánchez-Medina, P.S. (2023). Types of organizational culture and sustainability in ecotourism businesses in southern Mexico. Journal of Economics, Finance and Administrative Science. DOI: </w:t>
      </w:r>
      <w:hyperlink r:id="rId28" w:history="1">
        <w:r w:rsidRPr="001E4568">
          <w:rPr>
            <w:rStyle w:val="Hyperlink"/>
            <w:rFonts w:ascii="Times New Roman" w:hAnsi="Times New Roman" w:cs="Times New Roman"/>
            <w:lang w:val="en-GB"/>
          </w:rPr>
          <w:t>https://doi.org/10.1108/jefas-12-2021-0267</w:t>
        </w:r>
      </w:hyperlink>
      <w:r w:rsidRPr="001E4568">
        <w:rPr>
          <w:rFonts w:ascii="Times New Roman" w:hAnsi="Times New Roman" w:cs="Times New Roman"/>
          <w:color w:val="000000" w:themeColor="text1"/>
          <w:lang w:val="en-GB"/>
        </w:rPr>
        <w:t>.</w:t>
      </w:r>
    </w:p>
    <w:p w14:paraId="410B66F1" w14:textId="17C2513C" w:rsidR="00D33ED2" w:rsidRPr="001E4568" w:rsidRDefault="00D33ED2"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Johnson, K.L., Stone, W., Dominelli, L., Chivasa, S., Clarke, C.E., Gwandu, T., &amp; Appleby, J. (2023). Boosting soil literacy in schools can help improve understanding of soil/human health linkages in Generation Z. Frontiers in Environmental Science, vol. 10, 1-12. </w:t>
      </w:r>
      <w:r w:rsidRPr="001E4568">
        <w:rPr>
          <w:rFonts w:ascii="Times New Roman" w:hAnsi="Times New Roman" w:cs="Times New Roman"/>
          <w:color w:val="000000" w:themeColor="text1"/>
          <w:lang w:val="de"/>
        </w:rPr>
        <w:t xml:space="preserve">DOI: </w:t>
      </w:r>
      <w:r w:rsidRPr="001E4568">
        <w:fldChar w:fldCharType="begin"/>
      </w:r>
      <w:r w:rsidRPr="001E4568">
        <w:instrText>HYPERLINK "https://doi.org/10.3389/fenvs.2022.1028839"</w:instrText>
      </w:r>
      <w:r w:rsidRPr="001E4568">
        <w:fldChar w:fldCharType="separate"/>
      </w:r>
      <w:r w:rsidRPr="001E4568">
        <w:rPr>
          <w:rStyle w:val="Hyperlink"/>
          <w:rFonts w:ascii="Times New Roman" w:hAnsi="Times New Roman" w:cs="Times New Roman"/>
          <w:lang w:val="de"/>
        </w:rPr>
        <w:t>https://doi.org/10.3389/fenvs.2022.1028839</w:t>
      </w:r>
      <w:r w:rsidRPr="001E4568">
        <w:fldChar w:fldCharType="end"/>
      </w:r>
      <w:r w:rsidRPr="001E4568">
        <w:rPr>
          <w:rFonts w:ascii="Times New Roman" w:hAnsi="Times New Roman" w:cs="Times New Roman"/>
          <w:color w:val="000000" w:themeColor="text1"/>
          <w:lang w:val="de"/>
        </w:rPr>
        <w:t>.</w:t>
      </w:r>
    </w:p>
    <w:p w14:paraId="6D78F1AE" w14:textId="77777777" w:rsidR="00CB0D6C" w:rsidRPr="001E4568" w:rsidRDefault="00CB0D6C"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Levy, R. (2023). Home–school communication: what we have learned from the pandemic. </w:t>
      </w:r>
      <w:r w:rsidRPr="001E4568">
        <w:rPr>
          <w:rFonts w:ascii="Times New Roman" w:hAnsi="Times New Roman" w:cs="Times New Roman"/>
          <w:color w:val="000000" w:themeColor="text1"/>
          <w:lang w:val="de"/>
        </w:rPr>
        <w:t xml:space="preserve">Education 3-13, 52(1), 21–32. </w:t>
      </w:r>
      <w:r w:rsidR="006F7FFC" w:rsidRPr="001E4568">
        <w:fldChar w:fldCharType="begin"/>
      </w:r>
      <w:r w:rsidR="006F7FFC" w:rsidRPr="001E4568">
        <w:instrText>HYPERLINK "https://doi.org/10.1080/03004279.2023.2186972"</w:instrText>
      </w:r>
      <w:r w:rsidR="006F7FFC" w:rsidRPr="001E4568">
        <w:fldChar w:fldCharType="separate"/>
      </w:r>
      <w:r w:rsidR="006F7FFC" w:rsidRPr="001E4568">
        <w:rPr>
          <w:rStyle w:val="Hyperlink"/>
          <w:rFonts w:ascii="Times New Roman" w:hAnsi="Times New Roman" w:cs="Times New Roman"/>
          <w:lang w:val="de"/>
        </w:rPr>
        <w:t>https://doi.org/10.1080/03004279.2023.2186972</w:t>
      </w:r>
      <w:r w:rsidR="006F7FFC" w:rsidRPr="001E4568">
        <w:fldChar w:fldCharType="end"/>
      </w:r>
    </w:p>
    <w:p w14:paraId="53DCA103" w14:textId="3172D9E0" w:rsidR="006F7FFC" w:rsidRPr="001E4568" w:rsidRDefault="006F7FFC"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Social and Behaviour Change Communication</w:t>
      </w:r>
      <w:r w:rsidR="002841B1" w:rsidRPr="001E4568">
        <w:rPr>
          <w:rFonts w:ascii="Times New Roman" w:hAnsi="Times New Roman" w:cs="Times New Roman"/>
          <w:color w:val="000000" w:themeColor="text1"/>
          <w:lang w:val="en-GB"/>
        </w:rPr>
        <w:t xml:space="preserve"> (UNICEF). Designing holistic and data-driven communications to enable change. </w:t>
      </w:r>
      <w:hyperlink r:id="rId29" w:history="1">
        <w:r w:rsidR="002841B1" w:rsidRPr="001E4568">
          <w:rPr>
            <w:rStyle w:val="Hyperlink"/>
            <w:rFonts w:ascii="Times New Roman" w:hAnsi="Times New Roman" w:cs="Times New Roman"/>
            <w:lang w:val="en-GB"/>
          </w:rPr>
          <w:t>https://www.sbcguidance.org/understand/social-and-behaviour-change-communication</w:t>
        </w:r>
      </w:hyperlink>
      <w:r w:rsidR="002841B1" w:rsidRPr="001E4568">
        <w:rPr>
          <w:rFonts w:ascii="Times New Roman" w:hAnsi="Times New Roman" w:cs="Times New Roman"/>
          <w:color w:val="000000" w:themeColor="text1"/>
          <w:lang w:val="en-GB"/>
        </w:rPr>
        <w:t xml:space="preserve"> (Acce</w:t>
      </w:r>
      <w:r w:rsidR="0000609E" w:rsidRPr="001E4568">
        <w:rPr>
          <w:rFonts w:ascii="Times New Roman" w:hAnsi="Times New Roman" w:cs="Times New Roman"/>
          <w:color w:val="000000" w:themeColor="text1"/>
          <w:lang w:val="en-GB"/>
        </w:rPr>
        <w:t>s</w:t>
      </w:r>
      <w:r w:rsidR="002841B1" w:rsidRPr="001E4568">
        <w:rPr>
          <w:rFonts w:ascii="Times New Roman" w:hAnsi="Times New Roman" w:cs="Times New Roman"/>
          <w:color w:val="000000" w:themeColor="text1"/>
          <w:lang w:val="en-GB"/>
        </w:rPr>
        <w:t>sed: 23.10.2024)</w:t>
      </w:r>
    </w:p>
    <w:p w14:paraId="5219D338" w14:textId="7C3FC629" w:rsidR="002841B1" w:rsidRPr="001E4568" w:rsidRDefault="002841B1" w:rsidP="00AE11B5">
      <w:pPr>
        <w:pStyle w:val="ListParagraph"/>
        <w:numPr>
          <w:ilvl w:val="0"/>
          <w:numId w:val="1"/>
        </w:numPr>
        <w:ind w:left="426" w:hanging="426"/>
        <w:jc w:val="both"/>
        <w:rPr>
          <w:rFonts w:ascii="Times New Roman" w:hAnsi="Times New Roman" w:cs="Times New Roman"/>
          <w:color w:val="000000" w:themeColor="text1"/>
          <w:lang w:val="en-GB"/>
        </w:rPr>
      </w:pPr>
      <w:proofErr w:type="spellStart"/>
      <w:r w:rsidRPr="001E4568">
        <w:rPr>
          <w:rFonts w:ascii="Times New Roman" w:hAnsi="Times New Roman" w:cs="Times New Roman"/>
          <w:color w:val="000000" w:themeColor="text1"/>
          <w:lang w:val="en-GB"/>
        </w:rPr>
        <w:t>Crawfoord</w:t>
      </w:r>
      <w:proofErr w:type="spellEnd"/>
      <w:r w:rsidRPr="001E4568">
        <w:rPr>
          <w:rFonts w:ascii="Times New Roman" w:hAnsi="Times New Roman" w:cs="Times New Roman"/>
          <w:color w:val="000000" w:themeColor="text1"/>
          <w:lang w:val="en-GB"/>
        </w:rPr>
        <w:t>, J. (2021).</w:t>
      </w:r>
      <w:r w:rsidRPr="001E4568">
        <w:rPr>
          <w:rFonts w:ascii="Times New Roman" w:hAnsi="Times New Roman" w:cs="Times New Roman"/>
          <w:lang w:val="en-GB"/>
        </w:rPr>
        <w:t xml:space="preserve"> </w:t>
      </w:r>
      <w:r w:rsidR="00AD37EC" w:rsidRPr="001E4568">
        <w:rPr>
          <w:rFonts w:ascii="Times New Roman" w:hAnsi="Times New Roman" w:cs="Times New Roman"/>
          <w:lang w:val="en-GB"/>
        </w:rPr>
        <w:t>1</w:t>
      </w:r>
      <w:r w:rsidRPr="001E4568">
        <w:rPr>
          <w:rFonts w:ascii="Times New Roman" w:hAnsi="Times New Roman" w:cs="Times New Roman"/>
          <w:color w:val="000000" w:themeColor="text1"/>
          <w:lang w:val="en-GB"/>
        </w:rPr>
        <w:t xml:space="preserve">0 </w:t>
      </w:r>
      <w:r w:rsidR="0000609E" w:rsidRPr="001E4568">
        <w:rPr>
          <w:rFonts w:ascii="Times New Roman" w:hAnsi="Times New Roman" w:cs="Times New Roman"/>
          <w:color w:val="000000" w:themeColor="text1"/>
          <w:lang w:val="en-GB"/>
        </w:rPr>
        <w:t>new</w:t>
      </w:r>
      <w:r w:rsidRPr="001E4568">
        <w:rPr>
          <w:rFonts w:ascii="Times New Roman" w:hAnsi="Times New Roman" w:cs="Times New Roman"/>
          <w:color w:val="000000" w:themeColor="text1"/>
          <w:lang w:val="en-GB"/>
        </w:rPr>
        <w:t xml:space="preserve"> </w:t>
      </w:r>
      <w:r w:rsidR="00AD37EC" w:rsidRPr="001E4568">
        <w:rPr>
          <w:rFonts w:ascii="Times New Roman" w:hAnsi="Times New Roman" w:cs="Times New Roman"/>
          <w:color w:val="000000" w:themeColor="text1"/>
          <w:lang w:val="en-GB"/>
        </w:rPr>
        <w:t>w</w:t>
      </w:r>
      <w:r w:rsidRPr="001E4568">
        <w:rPr>
          <w:rFonts w:ascii="Times New Roman" w:hAnsi="Times New Roman" w:cs="Times New Roman"/>
          <w:color w:val="000000" w:themeColor="text1"/>
          <w:lang w:val="en-GB"/>
        </w:rPr>
        <w:t xml:space="preserve">ays to </w:t>
      </w:r>
      <w:r w:rsidR="00AD37EC" w:rsidRPr="001E4568">
        <w:rPr>
          <w:rFonts w:ascii="Times New Roman" w:hAnsi="Times New Roman" w:cs="Times New Roman"/>
          <w:color w:val="000000" w:themeColor="text1"/>
          <w:lang w:val="en-GB"/>
        </w:rPr>
        <w:t>c</w:t>
      </w:r>
      <w:r w:rsidRPr="001E4568">
        <w:rPr>
          <w:rFonts w:ascii="Times New Roman" w:hAnsi="Times New Roman" w:cs="Times New Roman"/>
          <w:color w:val="000000" w:themeColor="text1"/>
          <w:lang w:val="en-GB"/>
        </w:rPr>
        <w:t xml:space="preserve">ommunicate in </w:t>
      </w:r>
      <w:r w:rsidR="00AD37EC" w:rsidRPr="001E4568">
        <w:rPr>
          <w:rFonts w:ascii="Times New Roman" w:hAnsi="Times New Roman" w:cs="Times New Roman"/>
          <w:color w:val="000000" w:themeColor="text1"/>
          <w:lang w:val="en-GB"/>
        </w:rPr>
        <w:t>t</w:t>
      </w:r>
      <w:r w:rsidRPr="001E4568">
        <w:rPr>
          <w:rFonts w:ascii="Times New Roman" w:hAnsi="Times New Roman" w:cs="Times New Roman"/>
          <w:color w:val="000000" w:themeColor="text1"/>
          <w:lang w:val="en-GB"/>
        </w:rPr>
        <w:t xml:space="preserve">he </w:t>
      </w:r>
      <w:r w:rsidR="00AD37EC" w:rsidRPr="001E4568">
        <w:rPr>
          <w:rFonts w:ascii="Times New Roman" w:hAnsi="Times New Roman" w:cs="Times New Roman"/>
          <w:color w:val="000000" w:themeColor="text1"/>
          <w:lang w:val="en-GB"/>
        </w:rPr>
        <w:t>a</w:t>
      </w:r>
      <w:r w:rsidRPr="001E4568">
        <w:rPr>
          <w:rFonts w:ascii="Times New Roman" w:hAnsi="Times New Roman" w:cs="Times New Roman"/>
          <w:color w:val="000000" w:themeColor="text1"/>
          <w:lang w:val="en-GB"/>
        </w:rPr>
        <w:t xml:space="preserve">ge </w:t>
      </w:r>
      <w:r w:rsidR="00AD37EC" w:rsidRPr="001E4568">
        <w:rPr>
          <w:rFonts w:ascii="Times New Roman" w:hAnsi="Times New Roman" w:cs="Times New Roman"/>
          <w:color w:val="000000" w:themeColor="text1"/>
          <w:lang w:val="en-GB"/>
        </w:rPr>
        <w:t>o</w:t>
      </w:r>
      <w:r w:rsidRPr="001E4568">
        <w:rPr>
          <w:rFonts w:ascii="Times New Roman" w:hAnsi="Times New Roman" w:cs="Times New Roman"/>
          <w:color w:val="000000" w:themeColor="text1"/>
          <w:lang w:val="en-GB"/>
        </w:rPr>
        <w:t xml:space="preserve">f </w:t>
      </w:r>
      <w:r w:rsidR="00AD37EC" w:rsidRPr="001E4568">
        <w:rPr>
          <w:rFonts w:ascii="Times New Roman" w:hAnsi="Times New Roman" w:cs="Times New Roman"/>
          <w:color w:val="000000" w:themeColor="text1"/>
          <w:lang w:val="en-GB"/>
        </w:rPr>
        <w:t>d</w:t>
      </w:r>
      <w:r w:rsidRPr="001E4568">
        <w:rPr>
          <w:rFonts w:ascii="Times New Roman" w:hAnsi="Times New Roman" w:cs="Times New Roman"/>
          <w:color w:val="000000" w:themeColor="text1"/>
          <w:lang w:val="en-GB"/>
        </w:rPr>
        <w:t xml:space="preserve">igital </w:t>
      </w:r>
      <w:r w:rsidR="00AD37EC" w:rsidRPr="001E4568">
        <w:rPr>
          <w:rFonts w:ascii="Times New Roman" w:hAnsi="Times New Roman" w:cs="Times New Roman"/>
          <w:color w:val="000000" w:themeColor="text1"/>
          <w:lang w:val="en-GB"/>
        </w:rPr>
        <w:t>t</w:t>
      </w:r>
      <w:r w:rsidRPr="001E4568">
        <w:rPr>
          <w:rFonts w:ascii="Times New Roman" w:hAnsi="Times New Roman" w:cs="Times New Roman"/>
          <w:color w:val="000000" w:themeColor="text1"/>
          <w:lang w:val="en-GB"/>
        </w:rPr>
        <w:t xml:space="preserve">echnology. </w:t>
      </w:r>
      <w:hyperlink r:id="rId30" w:history="1">
        <w:r w:rsidRPr="001E4568">
          <w:rPr>
            <w:rStyle w:val="Hyperlink"/>
            <w:rFonts w:ascii="Times New Roman" w:hAnsi="Times New Roman" w:cs="Times New Roman"/>
            <w:lang w:val="en-GB"/>
          </w:rPr>
          <w:t>https://techresearchonline.com/blog/10-new-ways-to-communicate-digitally-age-of-digital-technology/</w:t>
        </w:r>
      </w:hyperlink>
      <w:r w:rsidRPr="001E4568">
        <w:rPr>
          <w:rFonts w:ascii="Times New Roman" w:hAnsi="Times New Roman" w:cs="Times New Roman"/>
          <w:color w:val="000000" w:themeColor="text1"/>
          <w:lang w:val="en-GB"/>
        </w:rPr>
        <w:t xml:space="preserve"> (</w:t>
      </w:r>
      <w:bookmarkStart w:id="4" w:name="_Hlk180708377"/>
      <w:r w:rsidRPr="001E4568">
        <w:rPr>
          <w:rFonts w:ascii="Times New Roman" w:hAnsi="Times New Roman" w:cs="Times New Roman"/>
          <w:color w:val="000000" w:themeColor="text1"/>
          <w:lang w:val="en-GB"/>
        </w:rPr>
        <w:t>Acces</w:t>
      </w:r>
      <w:r w:rsidR="0000609E" w:rsidRPr="001E4568">
        <w:rPr>
          <w:rFonts w:ascii="Times New Roman" w:hAnsi="Times New Roman" w:cs="Times New Roman"/>
          <w:color w:val="000000" w:themeColor="text1"/>
          <w:lang w:val="en-GB"/>
        </w:rPr>
        <w:t>s</w:t>
      </w:r>
      <w:r w:rsidRPr="001E4568">
        <w:rPr>
          <w:rFonts w:ascii="Times New Roman" w:hAnsi="Times New Roman" w:cs="Times New Roman"/>
          <w:color w:val="000000" w:themeColor="text1"/>
          <w:lang w:val="en-GB"/>
        </w:rPr>
        <w:t>ed: 23.10.2024</w:t>
      </w:r>
      <w:bookmarkEnd w:id="4"/>
      <w:r w:rsidRPr="001E4568">
        <w:rPr>
          <w:rFonts w:ascii="Times New Roman" w:hAnsi="Times New Roman" w:cs="Times New Roman"/>
          <w:color w:val="000000" w:themeColor="text1"/>
          <w:lang w:val="en-GB"/>
        </w:rPr>
        <w:t>)</w:t>
      </w:r>
      <w:r w:rsidR="000666CF" w:rsidRPr="001E4568">
        <w:rPr>
          <w:rFonts w:ascii="Times New Roman" w:hAnsi="Times New Roman" w:cs="Times New Roman"/>
          <w:color w:val="000000" w:themeColor="text1"/>
          <w:lang w:val="en-GB"/>
        </w:rPr>
        <w:t>.</w:t>
      </w:r>
    </w:p>
    <w:p w14:paraId="43C8F119" w14:textId="14B3386D" w:rsidR="00BE5454" w:rsidRPr="001E4568" w:rsidRDefault="00BE5454" w:rsidP="00AE11B5">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it-IT"/>
        </w:rPr>
        <w:t xml:space="preserve">Chandler, E., Ignagni, E., &amp; Collins, K. (2021). </w:t>
      </w:r>
      <w:r w:rsidRPr="001E4568">
        <w:rPr>
          <w:rFonts w:ascii="Times New Roman" w:hAnsi="Times New Roman" w:cs="Times New Roman"/>
          <w:color w:val="000000" w:themeColor="text1"/>
          <w:lang w:val="en-GB"/>
        </w:rPr>
        <w:t>Communicating access, accessing</w:t>
      </w:r>
      <w:r w:rsidR="003036C6" w:rsidRPr="001E4568">
        <w:rPr>
          <w:rFonts w:ascii="Times New Roman" w:hAnsi="Times New Roman" w:cs="Times New Roman"/>
          <w:color w:val="000000" w:themeColor="text1"/>
          <w:lang w:val="en-GB"/>
        </w:rPr>
        <w:t xml:space="preserve"> </w:t>
      </w:r>
      <w:r w:rsidRPr="001E4568">
        <w:rPr>
          <w:rFonts w:ascii="Times New Roman" w:hAnsi="Times New Roman" w:cs="Times New Roman"/>
          <w:color w:val="000000" w:themeColor="text1"/>
          <w:lang w:val="en-GB"/>
        </w:rPr>
        <w:t>communication. Studies in Social Justice, 15(2), 230-238.</w:t>
      </w:r>
      <w:r w:rsidRPr="001E4568">
        <w:rPr>
          <w:lang w:val="en-GB"/>
        </w:rPr>
        <w:t xml:space="preserve"> </w:t>
      </w:r>
      <w:hyperlink r:id="rId31" w:history="1">
        <w:r w:rsidRPr="001E4568">
          <w:rPr>
            <w:rStyle w:val="Hyperlink"/>
            <w:rFonts w:ascii="Times New Roman" w:hAnsi="Times New Roman" w:cs="Times New Roman"/>
            <w:lang w:val="de"/>
          </w:rPr>
          <w:t>https://doi.org/10.26522/ssj.v15i2.2657</w:t>
        </w:r>
      </w:hyperlink>
      <w:r w:rsidRPr="001E4568">
        <w:rPr>
          <w:rFonts w:ascii="Times New Roman" w:hAnsi="Times New Roman" w:cs="Times New Roman"/>
          <w:color w:val="000000" w:themeColor="text1"/>
          <w:lang w:val="de"/>
        </w:rPr>
        <w:t>.</w:t>
      </w:r>
    </w:p>
    <w:p w14:paraId="0ED61930" w14:textId="3A8867F8" w:rsidR="00392C41" w:rsidRPr="001E4568"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hyperlink r:id="rId32" w:history="1">
        <w:r w:rsidRPr="001E4568">
          <w:rPr>
            <w:rStyle w:val="Hyperlink"/>
            <w:rFonts w:ascii="Times New Roman" w:hAnsi="Times New Roman" w:cs="Times New Roman"/>
            <w:lang w:val="en-GB"/>
          </w:rPr>
          <w:t>https://www.oed.com/search/dictionary</w:t>
        </w:r>
      </w:hyperlink>
    </w:p>
    <w:p w14:paraId="4690F664" w14:textId="77777777" w:rsidR="00392C41" w:rsidRPr="001E4568"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Trevithick, PA. (2000). Social Work Skills: A Practice Handbook. </w:t>
      </w:r>
      <w:r w:rsidRPr="001E4568">
        <w:rPr>
          <w:rFonts w:ascii="Times New Roman" w:hAnsi="Times New Roman" w:cs="Times New Roman"/>
          <w:color w:val="000000" w:themeColor="text1"/>
          <w:lang w:val="de"/>
        </w:rPr>
        <w:t>Open University Press.</w:t>
      </w:r>
    </w:p>
    <w:p w14:paraId="42493DC2" w14:textId="5F2A7E35" w:rsidR="000666CF" w:rsidRPr="001E4568" w:rsidRDefault="000666CF" w:rsidP="00392C41">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lastRenderedPageBreak/>
        <w:t>World Health Organisation (2011). World Report on Disability 2011.</w:t>
      </w:r>
      <w:r w:rsidRPr="001E4568">
        <w:rPr>
          <w:lang w:val="en-GB"/>
        </w:rPr>
        <w:t xml:space="preserve"> </w:t>
      </w:r>
      <w:hyperlink r:id="rId33" w:history="1">
        <w:r w:rsidRPr="001E4568">
          <w:rPr>
            <w:rStyle w:val="Hyperlink"/>
            <w:rFonts w:ascii="Times New Roman" w:hAnsi="Times New Roman" w:cs="Times New Roman"/>
          </w:rPr>
          <w:t>https://www.who.int/teams/noncommunicable-diseases/sensory-functions-disability-and-rehabilitation/world-report-on-disability</w:t>
        </w:r>
      </w:hyperlink>
      <w:r w:rsidRPr="001E4568">
        <w:rPr>
          <w:rFonts w:ascii="Times New Roman" w:hAnsi="Times New Roman" w:cs="Times New Roman"/>
          <w:color w:val="000000" w:themeColor="text1"/>
        </w:rPr>
        <w:t xml:space="preserve">. </w:t>
      </w:r>
      <w:r w:rsidRPr="001E4568">
        <w:rPr>
          <w:rFonts w:ascii="Times New Roman" w:hAnsi="Times New Roman" w:cs="Times New Roman"/>
          <w:color w:val="000000" w:themeColor="text1"/>
          <w:lang w:val="de"/>
        </w:rPr>
        <w:t>(Acce</w:t>
      </w:r>
      <w:r w:rsidR="0000609E" w:rsidRPr="001E4568">
        <w:rPr>
          <w:rFonts w:ascii="Times New Roman" w:hAnsi="Times New Roman" w:cs="Times New Roman"/>
          <w:color w:val="000000" w:themeColor="text1"/>
          <w:lang w:val="de"/>
        </w:rPr>
        <w:t>s</w:t>
      </w:r>
      <w:r w:rsidRPr="001E4568">
        <w:rPr>
          <w:rFonts w:ascii="Times New Roman" w:hAnsi="Times New Roman" w:cs="Times New Roman"/>
          <w:color w:val="000000" w:themeColor="text1"/>
          <w:lang w:val="de"/>
        </w:rPr>
        <w:t>sed: 23.10.2024).</w:t>
      </w:r>
    </w:p>
    <w:p w14:paraId="39E51A01" w14:textId="1E1D253E" w:rsidR="00B6198C" w:rsidRPr="001E4568" w:rsidRDefault="00B6198C" w:rsidP="00AE2113">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What is transdisciplinary research, Utrecht University. </w:t>
      </w:r>
      <w:hyperlink r:id="rId34" w:history="1">
        <w:r w:rsidRPr="001E4568">
          <w:rPr>
            <w:rStyle w:val="Hyperlink"/>
            <w:rFonts w:ascii="Times New Roman" w:hAnsi="Times New Roman" w:cs="Times New Roman"/>
            <w:lang w:val="en-GB"/>
          </w:rPr>
          <w:t>https://www.uu.nl/en/research/transdisciplinary-field-guide/get-started/what-is-transdisciplinary-research</w:t>
        </w:r>
      </w:hyperlink>
      <w:r w:rsidRPr="001E4568">
        <w:rPr>
          <w:rFonts w:ascii="Times New Roman" w:hAnsi="Times New Roman" w:cs="Times New Roman"/>
          <w:color w:val="000000" w:themeColor="text1"/>
          <w:lang w:val="en-GB"/>
        </w:rPr>
        <w:t xml:space="preserve"> (Acce</w:t>
      </w:r>
      <w:r w:rsidR="0000609E" w:rsidRPr="001E4568">
        <w:rPr>
          <w:rFonts w:ascii="Times New Roman" w:hAnsi="Times New Roman" w:cs="Times New Roman"/>
          <w:color w:val="000000" w:themeColor="text1"/>
          <w:lang w:val="en-GB"/>
        </w:rPr>
        <w:t>s</w:t>
      </w:r>
      <w:r w:rsidRPr="001E4568">
        <w:rPr>
          <w:rFonts w:ascii="Times New Roman" w:hAnsi="Times New Roman" w:cs="Times New Roman"/>
          <w:color w:val="000000" w:themeColor="text1"/>
          <w:lang w:val="en-GB"/>
        </w:rPr>
        <w:t>sed: 23.10.2024).</w:t>
      </w:r>
    </w:p>
    <w:p w14:paraId="65A56D86" w14:textId="42BF246C" w:rsidR="00AE2113" w:rsidRPr="001E4568" w:rsidRDefault="003036C6" w:rsidP="00AE2113">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Newell, W. H. (2001). A Theory of Interdisciplinary Studies. Issues in Integrative Studies, 19, 1-24.</w:t>
      </w:r>
      <w:r w:rsidRPr="001E4568">
        <w:rPr>
          <w:lang w:val="en-GB"/>
        </w:rPr>
        <w:t xml:space="preserve"> </w:t>
      </w:r>
      <w:hyperlink r:id="rId35" w:history="1">
        <w:r w:rsidRPr="001E4568">
          <w:rPr>
            <w:rStyle w:val="Hyperlink"/>
            <w:rFonts w:ascii="Times New Roman" w:hAnsi="Times New Roman" w:cs="Times New Roman"/>
            <w:lang w:val="en-GB"/>
          </w:rPr>
          <w:t>https://web.mit.edu/jrankin/www/interdisciplinary/interdisc_Newell.pdf</w:t>
        </w:r>
      </w:hyperlink>
      <w:r w:rsidRPr="001E4568">
        <w:rPr>
          <w:rFonts w:ascii="Times New Roman" w:hAnsi="Times New Roman" w:cs="Times New Roman"/>
          <w:color w:val="000000" w:themeColor="text1"/>
          <w:lang w:val="en-GB"/>
        </w:rPr>
        <w:t>.</w:t>
      </w:r>
    </w:p>
    <w:p w14:paraId="531C33A4" w14:textId="1CC3CBA1" w:rsidR="003036C6" w:rsidRPr="001E4568" w:rsidRDefault="00AE2113" w:rsidP="00AE2113">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Resh, H.M. and Howard, M. (2012)</w:t>
      </w:r>
      <w:r w:rsidR="00430B8F" w:rsidRPr="001E4568">
        <w:rPr>
          <w:rFonts w:ascii="Times New Roman" w:hAnsi="Times New Roman" w:cs="Times New Roman"/>
          <w:color w:val="000000" w:themeColor="text1"/>
          <w:lang w:val="en-GB"/>
        </w:rPr>
        <w:t>.</w:t>
      </w:r>
      <w:r w:rsidRPr="001E4568">
        <w:rPr>
          <w:rFonts w:ascii="Times New Roman" w:hAnsi="Times New Roman" w:cs="Times New Roman"/>
          <w:color w:val="000000" w:themeColor="text1"/>
          <w:lang w:val="en-GB"/>
        </w:rPr>
        <w:t xml:space="preserve"> Hydroponic Food Production: A Definitive Guidebook for the Advanced Home Gardener and the Commercial Hydroponic Grower. </w:t>
      </w:r>
      <w:r w:rsidRPr="001E4568">
        <w:rPr>
          <w:rFonts w:ascii="Times New Roman" w:hAnsi="Times New Roman" w:cs="Times New Roman"/>
          <w:color w:val="000000" w:themeColor="text1"/>
          <w:lang w:val="de"/>
        </w:rPr>
        <w:t>CRC Press, Santa Barbara, California.</w:t>
      </w:r>
      <w:r w:rsidR="00430B8F" w:rsidRPr="001E4568">
        <w:rPr>
          <w:rFonts w:ascii="Times New Roman" w:hAnsi="Times New Roman" w:cs="Times New Roman"/>
          <w:color w:val="000000" w:themeColor="text1"/>
          <w:lang w:val="de"/>
        </w:rPr>
        <w:t xml:space="preserve"> DOI: </w:t>
      </w:r>
      <w:hyperlink r:id="rId36" w:history="1">
        <w:r w:rsidR="00430B8F" w:rsidRPr="001E4568">
          <w:rPr>
            <w:rStyle w:val="Hyperlink"/>
            <w:rFonts w:ascii="Times New Roman" w:hAnsi="Times New Roman" w:cs="Times New Roman"/>
            <w:lang w:val="de"/>
          </w:rPr>
          <w:t>http://dx.doi.org/10.1201/b12500</w:t>
        </w:r>
      </w:hyperlink>
      <w:r w:rsidR="00430B8F" w:rsidRPr="001E4568">
        <w:rPr>
          <w:rFonts w:ascii="Times New Roman" w:hAnsi="Times New Roman" w:cs="Times New Roman"/>
          <w:color w:val="000000" w:themeColor="text1"/>
          <w:lang w:val="de"/>
        </w:rPr>
        <w:t>.</w:t>
      </w:r>
    </w:p>
    <w:p w14:paraId="711FCFB3" w14:textId="1DB56EC7" w:rsidR="00BD4C94" w:rsidRPr="001E4568" w:rsidRDefault="00B43EA9" w:rsidP="00BD4C94">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Adriano, D. C. (2001). Trace Elements in Terrestrial Environments: Biogeochemistry, Bioavailability, and Risks of Metals. </w:t>
      </w:r>
      <w:r w:rsidRPr="001E4568">
        <w:rPr>
          <w:rFonts w:ascii="Times New Roman" w:hAnsi="Times New Roman" w:cs="Times New Roman"/>
          <w:color w:val="000000" w:themeColor="text1"/>
          <w:lang w:val="de"/>
        </w:rPr>
        <w:t>Springer.</w:t>
      </w:r>
    </w:p>
    <w:p w14:paraId="7BF5F264" w14:textId="54678D14" w:rsidR="00DB0D05" w:rsidRPr="001E4568" w:rsidRDefault="00BD4C94" w:rsidP="00BD4C94">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Gupta, P.K., Goel, M. (2021). Environmental Tracers and Isotopic Techniques: Tools for Sustainable Water Management. In: Adhikary, P.P., Shit, P.K., Santra, P., Bhunia, G.S., Tiwari, A.K., Chaudhary, B.S. (eds) </w:t>
      </w:r>
      <w:proofErr w:type="spellStart"/>
      <w:r w:rsidRPr="001E4568">
        <w:rPr>
          <w:rFonts w:ascii="Times New Roman" w:hAnsi="Times New Roman" w:cs="Times New Roman"/>
          <w:color w:val="000000" w:themeColor="text1"/>
          <w:lang w:val="en-GB"/>
        </w:rPr>
        <w:t>Geostatistics</w:t>
      </w:r>
      <w:proofErr w:type="spellEnd"/>
      <w:r w:rsidRPr="001E4568">
        <w:rPr>
          <w:rFonts w:ascii="Times New Roman" w:hAnsi="Times New Roman" w:cs="Times New Roman"/>
          <w:color w:val="000000" w:themeColor="text1"/>
          <w:lang w:val="en-GB"/>
        </w:rPr>
        <w:t xml:space="preserve"> and Geospatial Technologies for Groundwater Resources in India. </w:t>
      </w:r>
      <w:r w:rsidRPr="001E4568">
        <w:rPr>
          <w:rFonts w:ascii="Times New Roman" w:hAnsi="Times New Roman" w:cs="Times New Roman"/>
          <w:color w:val="000000" w:themeColor="text1"/>
          <w:lang w:val="de"/>
        </w:rPr>
        <w:t xml:space="preserve">Springer Hydrogeology. Springer, Cham. </w:t>
      </w:r>
      <w:r w:rsidRPr="001E4568">
        <w:fldChar w:fldCharType="begin"/>
      </w:r>
      <w:r w:rsidRPr="001E4568">
        <w:instrText>HYPERLINK "https://doi.org/10.1007/978-3-030-62397-5_26"</w:instrText>
      </w:r>
      <w:r w:rsidRPr="001E4568">
        <w:fldChar w:fldCharType="separate"/>
      </w:r>
      <w:r w:rsidRPr="001E4568">
        <w:rPr>
          <w:rStyle w:val="Hyperlink"/>
          <w:rFonts w:ascii="Times New Roman" w:hAnsi="Times New Roman" w:cs="Times New Roman"/>
          <w:lang w:val="de"/>
        </w:rPr>
        <w:t>https://doi.org/10.1007/978-3-030-62397-5_26</w:t>
      </w:r>
      <w:r w:rsidRPr="001E4568">
        <w:fldChar w:fldCharType="end"/>
      </w:r>
      <w:r w:rsidRPr="001E4568">
        <w:rPr>
          <w:rFonts w:ascii="Times New Roman" w:hAnsi="Times New Roman" w:cs="Times New Roman"/>
          <w:color w:val="000000" w:themeColor="text1"/>
          <w:lang w:val="de"/>
        </w:rPr>
        <w:t>.</w:t>
      </w:r>
    </w:p>
    <w:p w14:paraId="66A2EBC2" w14:textId="6CFCFA24" w:rsidR="0039340A" w:rsidRPr="001E4568" w:rsidRDefault="009F6001" w:rsidP="0039340A">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Scholz, R.W. (2020). </w:t>
      </w:r>
      <w:proofErr w:type="spellStart"/>
      <w:r w:rsidRPr="001E4568">
        <w:rPr>
          <w:rFonts w:ascii="Times New Roman" w:hAnsi="Times New Roman" w:cs="Times New Roman"/>
          <w:color w:val="000000" w:themeColor="text1"/>
          <w:lang w:val="en-GB"/>
        </w:rPr>
        <w:t>Transdisciplinarity</w:t>
      </w:r>
      <w:proofErr w:type="spellEnd"/>
      <w:r w:rsidRPr="001E4568">
        <w:rPr>
          <w:rFonts w:ascii="Times New Roman" w:hAnsi="Times New Roman" w:cs="Times New Roman"/>
          <w:color w:val="000000" w:themeColor="text1"/>
          <w:lang w:val="en-GB"/>
        </w:rPr>
        <w:t xml:space="preserve">: science for and with society in light of the university’s roles and functions. </w:t>
      </w:r>
      <w:r w:rsidRPr="001E4568">
        <w:rPr>
          <w:rFonts w:ascii="Times New Roman" w:hAnsi="Times New Roman" w:cs="Times New Roman"/>
          <w:color w:val="000000" w:themeColor="text1"/>
          <w:lang w:val="de"/>
        </w:rPr>
        <w:t xml:space="preserve">Sustain Sci 15, 1033–1049.DOI: </w:t>
      </w:r>
      <w:r w:rsidRPr="001E4568">
        <w:fldChar w:fldCharType="begin"/>
      </w:r>
      <w:r w:rsidRPr="001E4568">
        <w:instrText>HYPERLINK "https://doi.org/10.1007/s11625-020-00794-x"</w:instrText>
      </w:r>
      <w:r w:rsidRPr="001E4568">
        <w:fldChar w:fldCharType="separate"/>
      </w:r>
      <w:r w:rsidRPr="001E4568">
        <w:rPr>
          <w:rStyle w:val="Hyperlink"/>
          <w:rFonts w:ascii="Times New Roman" w:hAnsi="Times New Roman" w:cs="Times New Roman"/>
          <w:lang w:val="de"/>
        </w:rPr>
        <w:t>https://doi.org/10.1007/s11625-020-00794-x</w:t>
      </w:r>
      <w:r w:rsidRPr="001E4568">
        <w:fldChar w:fldCharType="end"/>
      </w:r>
      <w:r w:rsidRPr="001E4568">
        <w:rPr>
          <w:rFonts w:ascii="Times New Roman" w:hAnsi="Times New Roman" w:cs="Times New Roman"/>
          <w:color w:val="000000" w:themeColor="text1"/>
          <w:lang w:val="de"/>
        </w:rPr>
        <w:t>.</w:t>
      </w:r>
    </w:p>
    <w:p w14:paraId="7A8BC84A" w14:textId="401531A9" w:rsidR="0039340A" w:rsidRPr="001E4568" w:rsidRDefault="0039340A" w:rsidP="0039340A">
      <w:pPr>
        <w:pStyle w:val="ListParagraph"/>
        <w:numPr>
          <w:ilvl w:val="0"/>
          <w:numId w:val="1"/>
        </w:numPr>
        <w:ind w:left="426" w:hanging="426"/>
        <w:jc w:val="both"/>
        <w:rPr>
          <w:rFonts w:ascii="Times New Roman" w:hAnsi="Times New Roman" w:cs="Times New Roman"/>
          <w:color w:val="000000" w:themeColor="text1"/>
          <w:lang w:val="pt-BR"/>
        </w:rPr>
      </w:pPr>
      <w:r w:rsidRPr="001E4568">
        <w:rPr>
          <w:rFonts w:ascii="Times New Roman" w:hAnsi="Times New Roman" w:cs="Times New Roman"/>
          <w:color w:val="000000" w:themeColor="text1"/>
          <w:lang w:val="en-GB"/>
        </w:rPr>
        <w:t xml:space="preserve">Solomon, G.E., Carley, S., Porter, A.L. (2016) How Multidisciplinary Are the Multidisciplinary Journals Science and Nature? </w:t>
      </w:r>
      <w:r w:rsidRPr="001E4568">
        <w:rPr>
          <w:rFonts w:ascii="Times New Roman" w:hAnsi="Times New Roman" w:cs="Times New Roman"/>
          <w:color w:val="000000" w:themeColor="text1"/>
          <w:lang w:val="pt-BR"/>
        </w:rPr>
        <w:t xml:space="preserve">PLoS One. Apr 4;11(4):e0152637. DOI: </w:t>
      </w:r>
      <w:r w:rsidRPr="001E4568">
        <w:fldChar w:fldCharType="begin"/>
      </w:r>
      <w:r w:rsidRPr="001E4568">
        <w:rPr>
          <w:lang w:val="pt-BR"/>
        </w:rPr>
        <w:instrText>HYPERLINK "https://doi.org/10.1371/journal.pone.0152637"</w:instrText>
      </w:r>
      <w:r w:rsidRPr="001E4568">
        <w:fldChar w:fldCharType="separate"/>
      </w:r>
      <w:r w:rsidRPr="001E4568">
        <w:rPr>
          <w:rStyle w:val="Hyperlink"/>
          <w:rFonts w:ascii="Times New Roman" w:hAnsi="Times New Roman" w:cs="Times New Roman"/>
          <w:lang w:val="pt-BR"/>
        </w:rPr>
        <w:t>https://doi.org/10.1371/journal.pone.0152637</w:t>
      </w:r>
      <w:r w:rsidRPr="001E4568">
        <w:fldChar w:fldCharType="end"/>
      </w:r>
      <w:r w:rsidRPr="001E4568">
        <w:rPr>
          <w:rFonts w:ascii="Times New Roman" w:hAnsi="Times New Roman" w:cs="Times New Roman"/>
          <w:color w:val="000000" w:themeColor="text1"/>
          <w:lang w:val="pt-BR"/>
        </w:rPr>
        <w:t>.</w:t>
      </w:r>
    </w:p>
    <w:p w14:paraId="3F05DC8B" w14:textId="0E1FED4A" w:rsidR="00A80812" w:rsidRPr="001E4568" w:rsidRDefault="00A80812" w:rsidP="3C5DB29E">
      <w:pPr>
        <w:pStyle w:val="ListParagraph"/>
        <w:numPr>
          <w:ilvl w:val="0"/>
          <w:numId w:val="1"/>
        </w:numPr>
        <w:ind w:left="426" w:hanging="426"/>
        <w:jc w:val="both"/>
        <w:rPr>
          <w:rFonts w:ascii="Times New Roman" w:hAnsi="Times New Roman" w:cs="Times New Roman"/>
          <w:color w:val="000000" w:themeColor="text1"/>
        </w:rPr>
      </w:pPr>
      <w:r w:rsidRPr="001E4568">
        <w:rPr>
          <w:rFonts w:ascii="Times New Roman" w:hAnsi="Times New Roman" w:cs="Times New Roman"/>
          <w:color w:val="545454"/>
          <w:shd w:val="clear" w:color="auto" w:fill="FFFFFF"/>
          <w:lang w:val="en-GB"/>
        </w:rPr>
        <w:t xml:space="preserve">FAO. </w:t>
      </w:r>
      <w:r w:rsidR="00AC40AC" w:rsidRPr="001E4568">
        <w:rPr>
          <w:rFonts w:ascii="Times New Roman" w:hAnsi="Times New Roman" w:cs="Times New Roman"/>
          <w:color w:val="545454"/>
          <w:shd w:val="clear" w:color="auto" w:fill="FFFFFF"/>
          <w:lang w:val="en-GB"/>
        </w:rPr>
        <w:t>(</w:t>
      </w:r>
      <w:r w:rsidRPr="001E4568">
        <w:rPr>
          <w:rFonts w:ascii="Times New Roman" w:hAnsi="Times New Roman" w:cs="Times New Roman"/>
          <w:color w:val="545454"/>
          <w:shd w:val="clear" w:color="auto" w:fill="FFFFFF"/>
          <w:lang w:val="en-GB"/>
        </w:rPr>
        <w:t>2021</w:t>
      </w:r>
      <w:r w:rsidR="00AC40AC" w:rsidRPr="001E4568">
        <w:rPr>
          <w:rFonts w:ascii="Times New Roman" w:hAnsi="Times New Roman" w:cs="Times New Roman"/>
          <w:color w:val="545454"/>
          <w:shd w:val="clear" w:color="auto" w:fill="FFFFFF"/>
          <w:lang w:val="en-GB"/>
        </w:rPr>
        <w:t>)</w:t>
      </w:r>
      <w:r w:rsidRPr="001E4568">
        <w:rPr>
          <w:rFonts w:ascii="Times New Roman" w:hAnsi="Times New Roman" w:cs="Times New Roman"/>
          <w:color w:val="545454"/>
          <w:shd w:val="clear" w:color="auto" w:fill="FFFFFF"/>
          <w:lang w:val="en-GB"/>
        </w:rPr>
        <w:t>. </w:t>
      </w:r>
      <w:r w:rsidRPr="001E4568">
        <w:rPr>
          <w:rStyle w:val="Emphasis"/>
          <w:rFonts w:ascii="Times New Roman" w:hAnsi="Times New Roman" w:cs="Times New Roman"/>
          <w:i w:val="0"/>
          <w:iCs w:val="0"/>
          <w:color w:val="545454"/>
          <w:shd w:val="clear" w:color="auto" w:fill="FFFFFF"/>
          <w:lang w:val="en-GB"/>
        </w:rPr>
        <w:t>The State of Food and Agriculture 2021. Making agrifood systems more resilient to shocks and stresses</w:t>
      </w:r>
      <w:r w:rsidRPr="001E4568">
        <w:rPr>
          <w:rFonts w:ascii="Times New Roman" w:hAnsi="Times New Roman" w:cs="Times New Roman"/>
          <w:color w:val="545454"/>
          <w:shd w:val="clear" w:color="auto" w:fill="FFFFFF"/>
          <w:lang w:val="en-GB"/>
        </w:rPr>
        <w:t xml:space="preserve">. </w:t>
      </w:r>
      <w:r w:rsidRPr="001E4568">
        <w:rPr>
          <w:rFonts w:ascii="Times New Roman" w:hAnsi="Times New Roman" w:cs="Times New Roman"/>
          <w:color w:val="545454"/>
          <w:shd w:val="clear" w:color="auto" w:fill="FFFFFF"/>
        </w:rPr>
        <w:t>Rome, FAO.</w:t>
      </w:r>
      <w:r w:rsidRPr="001E4568">
        <w:rPr>
          <w:rFonts w:ascii="Times New Roman" w:hAnsi="Times New Roman" w:cs="Times New Roman"/>
        </w:rPr>
        <w:t xml:space="preserve"> </w:t>
      </w:r>
      <w:r w:rsidR="00AC40AC" w:rsidRPr="001E4568">
        <w:rPr>
          <w:rFonts w:ascii="Times New Roman" w:hAnsi="Times New Roman" w:cs="Times New Roman"/>
        </w:rPr>
        <w:t xml:space="preserve">DOI: </w:t>
      </w:r>
      <w:hyperlink r:id="rId37" w:history="1">
        <w:r w:rsidR="00AC40AC" w:rsidRPr="001E4568">
          <w:rPr>
            <w:rStyle w:val="Hyperlink"/>
            <w:rFonts w:ascii="Times New Roman" w:hAnsi="Times New Roman" w:cs="Times New Roman"/>
          </w:rPr>
          <w:t>https://doi.org/10.4060/cb4476en</w:t>
        </w:r>
      </w:hyperlink>
      <w:r w:rsidRPr="001E4568">
        <w:rPr>
          <w:rFonts w:ascii="Times New Roman" w:hAnsi="Times New Roman" w:cs="Times New Roman"/>
          <w:color w:val="545454"/>
          <w:shd w:val="clear" w:color="auto" w:fill="FFFFFF"/>
        </w:rPr>
        <w:t>.</w:t>
      </w:r>
    </w:p>
    <w:p w14:paraId="26DF7967" w14:textId="6B043898" w:rsidR="00A80812" w:rsidRPr="001E4568" w:rsidRDefault="00AC40AC" w:rsidP="0039340A">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United Nations. 2020. Global Biodiversity Outlook 5. Montreal: Secretariat of the Convention on Biological Diversity. </w:t>
      </w:r>
      <w:r w:rsidRPr="001E4568">
        <w:rPr>
          <w:rFonts w:ascii="Times New Roman" w:hAnsi="Times New Roman" w:cs="Times New Roman"/>
          <w:color w:val="000000" w:themeColor="text1"/>
          <w:lang w:val="de"/>
        </w:rPr>
        <w:t xml:space="preserve">Available at </w:t>
      </w:r>
      <w:r w:rsidR="006A5BAB" w:rsidRPr="001E4568">
        <w:fldChar w:fldCharType="begin"/>
      </w:r>
      <w:r w:rsidR="006A5BAB" w:rsidRPr="001E4568">
        <w:instrText>HYPERLINK "https://www.cbd.int/gbo5"</w:instrText>
      </w:r>
      <w:r w:rsidR="006A5BAB" w:rsidRPr="001E4568">
        <w:fldChar w:fldCharType="separate"/>
      </w:r>
      <w:r w:rsidR="006A5BAB" w:rsidRPr="001E4568">
        <w:rPr>
          <w:rStyle w:val="Hyperlink"/>
          <w:rFonts w:ascii="Times New Roman" w:hAnsi="Times New Roman" w:cs="Times New Roman"/>
          <w:lang w:val="de"/>
        </w:rPr>
        <w:t>https://www.cbd.int/gbo5</w:t>
      </w:r>
      <w:r w:rsidR="006A5BAB" w:rsidRPr="001E4568">
        <w:fldChar w:fldCharType="end"/>
      </w:r>
      <w:r w:rsidRPr="001E4568">
        <w:rPr>
          <w:rFonts w:ascii="Times New Roman" w:hAnsi="Times New Roman" w:cs="Times New Roman"/>
          <w:color w:val="000000" w:themeColor="text1"/>
          <w:lang w:val="de"/>
        </w:rPr>
        <w:t>.</w:t>
      </w:r>
    </w:p>
    <w:p w14:paraId="1CE6EA02" w14:textId="77777777" w:rsidR="00C6663B" w:rsidRPr="001E4568" w:rsidRDefault="006A5BAB" w:rsidP="00C6663B">
      <w:pPr>
        <w:pStyle w:val="ListParagraph"/>
        <w:numPr>
          <w:ilvl w:val="0"/>
          <w:numId w:val="1"/>
        </w:numPr>
        <w:ind w:left="426" w:hanging="426"/>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Lal, R. (2004). Soil Carbon Sequestration Impacts on Global Climate Change and Food Security. </w:t>
      </w:r>
      <w:r w:rsidRPr="001E4568">
        <w:rPr>
          <w:rFonts w:ascii="Times New Roman" w:hAnsi="Times New Roman" w:cs="Times New Roman"/>
          <w:color w:val="000000" w:themeColor="text1"/>
          <w:lang w:val="de"/>
        </w:rPr>
        <w:t xml:space="preserve">Science, 304(5677), 1623–1627. DOI: </w:t>
      </w:r>
      <w:r w:rsidRPr="001E4568">
        <w:fldChar w:fldCharType="begin"/>
      </w:r>
      <w:r w:rsidRPr="001E4568">
        <w:instrText>HYPERLINK "https://doi.org/10.1126/science.1097396"</w:instrText>
      </w:r>
      <w:r w:rsidRPr="001E4568">
        <w:fldChar w:fldCharType="separate"/>
      </w:r>
      <w:r w:rsidRPr="001E4568">
        <w:rPr>
          <w:rStyle w:val="Hyperlink"/>
          <w:rFonts w:ascii="Times New Roman" w:hAnsi="Times New Roman" w:cs="Times New Roman"/>
          <w:lang w:val="de"/>
        </w:rPr>
        <w:t>https://doi.org/10.1126/science.1097396</w:t>
      </w:r>
      <w:r w:rsidRPr="001E4568">
        <w:fldChar w:fldCharType="end"/>
      </w:r>
      <w:r w:rsidRPr="001E4568">
        <w:rPr>
          <w:rFonts w:ascii="Times New Roman" w:hAnsi="Times New Roman" w:cs="Times New Roman"/>
          <w:color w:val="000000" w:themeColor="text1"/>
          <w:lang w:val="de"/>
        </w:rPr>
        <w:t>.</w:t>
      </w:r>
    </w:p>
    <w:p w14:paraId="36707C5B" w14:textId="79DEF3C4" w:rsidR="00E410A6" w:rsidRPr="001E4568" w:rsidRDefault="00E410A6" w:rsidP="3C5DB29E">
      <w:pPr>
        <w:pStyle w:val="ListParagraph"/>
        <w:numPr>
          <w:ilvl w:val="0"/>
          <w:numId w:val="1"/>
        </w:numPr>
        <w:ind w:left="426" w:hanging="426"/>
        <w:jc w:val="both"/>
        <w:rPr>
          <w:rFonts w:ascii="Times New Roman" w:hAnsi="Times New Roman" w:cs="Times New Roman"/>
          <w:color w:val="000000" w:themeColor="text1"/>
        </w:rPr>
      </w:pPr>
      <w:r w:rsidRPr="001E4568">
        <w:rPr>
          <w:rFonts w:ascii="Times New Roman" w:hAnsi="Times New Roman" w:cs="Times New Roman"/>
          <w:color w:val="333333"/>
          <w:shd w:val="clear" w:color="auto" w:fill="EAEAEA"/>
          <w:lang w:val="en-GB"/>
        </w:rPr>
        <w:t xml:space="preserve">Lal, R. (2020). Regenerative agriculture for food and climate. Journal of Soil and Water Conservation, 75(5), 123A-124A. </w:t>
      </w:r>
      <w:r w:rsidRPr="001E4568">
        <w:rPr>
          <w:rFonts w:ascii="Times New Roman" w:hAnsi="Times New Roman" w:cs="Times New Roman"/>
          <w:color w:val="333333"/>
          <w:shd w:val="clear" w:color="auto" w:fill="EAEAEA"/>
        </w:rPr>
        <w:t xml:space="preserve">DOI: </w:t>
      </w:r>
      <w:hyperlink r:id="rId38" w:history="1">
        <w:r w:rsidRPr="001E4568">
          <w:rPr>
            <w:rStyle w:val="Hyperlink"/>
            <w:rFonts w:ascii="Times New Roman" w:hAnsi="Times New Roman" w:cs="Times New Roman"/>
          </w:rPr>
          <w:t>https://doi.org/10.2489/jswc.2020.0620A</w:t>
        </w:r>
      </w:hyperlink>
      <w:r w:rsidRPr="001E4568">
        <w:rPr>
          <w:rFonts w:ascii="Times New Roman" w:hAnsi="Times New Roman" w:cs="Times New Roman"/>
          <w:color w:val="333333"/>
          <w:shd w:val="clear" w:color="auto" w:fill="EAEAEA"/>
        </w:rPr>
        <w:t>.</w:t>
      </w:r>
    </w:p>
    <w:p w14:paraId="51C3DF7E" w14:textId="2EC28634" w:rsidR="00D3385E" w:rsidRPr="001E4568" w:rsidRDefault="00D3385E" w:rsidP="00D3385E">
      <w:pPr>
        <w:pStyle w:val="ListParagraph"/>
        <w:numPr>
          <w:ilvl w:val="0"/>
          <w:numId w:val="1"/>
        </w:numPr>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rPr>
        <w:t xml:space="preserve">Chadwick, D., </w:t>
      </w:r>
      <w:proofErr w:type="spellStart"/>
      <w:r w:rsidRPr="001E4568">
        <w:rPr>
          <w:rFonts w:ascii="Times New Roman" w:hAnsi="Times New Roman" w:cs="Times New Roman"/>
          <w:color w:val="000000" w:themeColor="text1"/>
        </w:rPr>
        <w:t>Sommer</w:t>
      </w:r>
      <w:proofErr w:type="spellEnd"/>
      <w:r w:rsidRPr="001E4568">
        <w:rPr>
          <w:rFonts w:ascii="Times New Roman" w:hAnsi="Times New Roman" w:cs="Times New Roman"/>
          <w:color w:val="000000" w:themeColor="text1"/>
        </w:rPr>
        <w:t xml:space="preserve">, S., </w:t>
      </w:r>
      <w:proofErr w:type="spellStart"/>
      <w:r w:rsidRPr="001E4568">
        <w:rPr>
          <w:rFonts w:ascii="Times New Roman" w:hAnsi="Times New Roman" w:cs="Times New Roman"/>
          <w:color w:val="000000" w:themeColor="text1"/>
        </w:rPr>
        <w:t>Thorman</w:t>
      </w:r>
      <w:proofErr w:type="spellEnd"/>
      <w:r w:rsidRPr="001E4568">
        <w:rPr>
          <w:rFonts w:ascii="Times New Roman" w:hAnsi="Times New Roman" w:cs="Times New Roman"/>
          <w:color w:val="000000" w:themeColor="text1"/>
        </w:rPr>
        <w:t xml:space="preserve">, R., </w:t>
      </w:r>
      <w:proofErr w:type="spellStart"/>
      <w:r w:rsidRPr="001E4568">
        <w:rPr>
          <w:rFonts w:ascii="Times New Roman" w:hAnsi="Times New Roman" w:cs="Times New Roman"/>
          <w:color w:val="000000" w:themeColor="text1"/>
        </w:rPr>
        <w:t>Fangueiro</w:t>
      </w:r>
      <w:proofErr w:type="spellEnd"/>
      <w:r w:rsidRPr="001E4568">
        <w:rPr>
          <w:rFonts w:ascii="Times New Roman" w:hAnsi="Times New Roman" w:cs="Times New Roman"/>
          <w:color w:val="000000" w:themeColor="text1"/>
        </w:rPr>
        <w:t xml:space="preserve">, D., </w:t>
      </w:r>
      <w:proofErr w:type="spellStart"/>
      <w:r w:rsidRPr="001E4568">
        <w:rPr>
          <w:rFonts w:ascii="Times New Roman" w:hAnsi="Times New Roman" w:cs="Times New Roman"/>
          <w:color w:val="000000" w:themeColor="text1"/>
        </w:rPr>
        <w:t>Cardenas</w:t>
      </w:r>
      <w:proofErr w:type="spellEnd"/>
      <w:r w:rsidRPr="001E4568">
        <w:rPr>
          <w:rFonts w:ascii="Times New Roman" w:hAnsi="Times New Roman" w:cs="Times New Roman"/>
          <w:color w:val="000000" w:themeColor="text1"/>
        </w:rPr>
        <w:t xml:space="preserve">, L., </w:t>
      </w:r>
      <w:proofErr w:type="spellStart"/>
      <w:r w:rsidRPr="001E4568">
        <w:rPr>
          <w:rFonts w:ascii="Times New Roman" w:hAnsi="Times New Roman" w:cs="Times New Roman"/>
          <w:color w:val="000000" w:themeColor="text1"/>
        </w:rPr>
        <w:t>Amon</w:t>
      </w:r>
      <w:proofErr w:type="spellEnd"/>
      <w:r w:rsidRPr="001E4568">
        <w:rPr>
          <w:rFonts w:ascii="Times New Roman" w:hAnsi="Times New Roman" w:cs="Times New Roman"/>
          <w:color w:val="000000" w:themeColor="text1"/>
        </w:rPr>
        <w:t xml:space="preserve">, B., </w:t>
      </w:r>
      <w:proofErr w:type="spellStart"/>
      <w:r w:rsidRPr="001E4568">
        <w:rPr>
          <w:rFonts w:ascii="Times New Roman" w:hAnsi="Times New Roman" w:cs="Times New Roman"/>
          <w:color w:val="000000" w:themeColor="text1"/>
        </w:rPr>
        <w:t>Misselbrook</w:t>
      </w:r>
      <w:proofErr w:type="spellEnd"/>
      <w:r w:rsidRPr="001E4568">
        <w:rPr>
          <w:rFonts w:ascii="Times New Roman" w:hAnsi="Times New Roman" w:cs="Times New Roman"/>
          <w:color w:val="000000" w:themeColor="text1"/>
        </w:rPr>
        <w:t xml:space="preserve">, T. (2011). </w:t>
      </w:r>
      <w:proofErr w:type="spellStart"/>
      <w:r w:rsidRPr="001E4568">
        <w:rPr>
          <w:rFonts w:ascii="Times New Roman" w:hAnsi="Times New Roman" w:cs="Times New Roman"/>
          <w:color w:val="000000" w:themeColor="text1"/>
        </w:rPr>
        <w:t>Manure</w:t>
      </w:r>
      <w:proofErr w:type="spellEnd"/>
      <w:r w:rsidRPr="001E4568">
        <w:rPr>
          <w:rFonts w:ascii="Times New Roman" w:hAnsi="Times New Roman" w:cs="Times New Roman"/>
          <w:color w:val="000000" w:themeColor="text1"/>
        </w:rPr>
        <w:t xml:space="preserve"> </w:t>
      </w:r>
      <w:proofErr w:type="spellStart"/>
      <w:r w:rsidRPr="001E4568">
        <w:rPr>
          <w:rFonts w:ascii="Times New Roman" w:hAnsi="Times New Roman" w:cs="Times New Roman"/>
          <w:color w:val="000000" w:themeColor="text1"/>
        </w:rPr>
        <w:t>management</w:t>
      </w:r>
      <w:proofErr w:type="spellEnd"/>
      <w:r w:rsidRPr="001E4568">
        <w:rPr>
          <w:rFonts w:ascii="Times New Roman" w:hAnsi="Times New Roman" w:cs="Times New Roman"/>
          <w:color w:val="000000" w:themeColor="text1"/>
        </w:rPr>
        <w:t xml:space="preserve">: </w:t>
      </w:r>
      <w:proofErr w:type="spellStart"/>
      <w:r w:rsidRPr="001E4568">
        <w:rPr>
          <w:rFonts w:ascii="Times New Roman" w:hAnsi="Times New Roman" w:cs="Times New Roman"/>
          <w:color w:val="000000" w:themeColor="text1"/>
        </w:rPr>
        <w:t>Implications</w:t>
      </w:r>
      <w:proofErr w:type="spellEnd"/>
      <w:r w:rsidRPr="001E4568">
        <w:rPr>
          <w:rFonts w:ascii="Times New Roman" w:hAnsi="Times New Roman" w:cs="Times New Roman"/>
          <w:color w:val="000000" w:themeColor="text1"/>
        </w:rPr>
        <w:t xml:space="preserve"> </w:t>
      </w:r>
      <w:proofErr w:type="spellStart"/>
      <w:r w:rsidRPr="001E4568">
        <w:rPr>
          <w:rFonts w:ascii="Times New Roman" w:hAnsi="Times New Roman" w:cs="Times New Roman"/>
          <w:color w:val="000000" w:themeColor="text1"/>
        </w:rPr>
        <w:t>for</w:t>
      </w:r>
      <w:proofErr w:type="spellEnd"/>
      <w:r w:rsidRPr="001E4568">
        <w:rPr>
          <w:rFonts w:ascii="Times New Roman" w:hAnsi="Times New Roman" w:cs="Times New Roman"/>
          <w:color w:val="000000" w:themeColor="text1"/>
        </w:rPr>
        <w:t xml:space="preserve"> </w:t>
      </w:r>
      <w:proofErr w:type="spellStart"/>
      <w:r w:rsidRPr="001E4568">
        <w:rPr>
          <w:rFonts w:ascii="Times New Roman" w:hAnsi="Times New Roman" w:cs="Times New Roman"/>
          <w:color w:val="000000" w:themeColor="text1"/>
        </w:rPr>
        <w:t>greenhouse</w:t>
      </w:r>
      <w:proofErr w:type="spellEnd"/>
      <w:r w:rsidRPr="001E4568">
        <w:rPr>
          <w:rFonts w:ascii="Times New Roman" w:hAnsi="Times New Roman" w:cs="Times New Roman"/>
          <w:color w:val="000000" w:themeColor="text1"/>
        </w:rPr>
        <w:t xml:space="preserve"> gas </w:t>
      </w:r>
      <w:proofErr w:type="spellStart"/>
      <w:r w:rsidRPr="001E4568">
        <w:rPr>
          <w:rFonts w:ascii="Times New Roman" w:hAnsi="Times New Roman" w:cs="Times New Roman"/>
          <w:color w:val="000000" w:themeColor="text1"/>
        </w:rPr>
        <w:t>emissions</w:t>
      </w:r>
      <w:proofErr w:type="spellEnd"/>
      <w:r w:rsidRPr="001E4568">
        <w:rPr>
          <w:rFonts w:ascii="Times New Roman" w:hAnsi="Times New Roman" w:cs="Times New Roman"/>
          <w:color w:val="000000" w:themeColor="text1"/>
        </w:rPr>
        <w:t xml:space="preserve">. </w:t>
      </w:r>
      <w:r w:rsidRPr="001E4568">
        <w:rPr>
          <w:rFonts w:ascii="Times New Roman" w:hAnsi="Times New Roman" w:cs="Times New Roman"/>
          <w:color w:val="000000" w:themeColor="text1"/>
          <w:lang w:val="en-GB"/>
        </w:rPr>
        <w:t xml:space="preserve">Animal Feed Science and Technology, vol. 166–167, pp. 514-531. DOI: </w:t>
      </w:r>
      <w:hyperlink r:id="rId39" w:history="1">
        <w:r w:rsidR="00F566FE" w:rsidRPr="001E4568">
          <w:rPr>
            <w:rStyle w:val="Hyperlink"/>
            <w:rFonts w:ascii="Times New Roman" w:hAnsi="Times New Roman" w:cs="Times New Roman"/>
            <w:lang w:val="en-GB"/>
          </w:rPr>
          <w:t>https://doi.org/10.1016/j.anifeedsci.2011.04.036</w:t>
        </w:r>
      </w:hyperlink>
      <w:r w:rsidRPr="001E4568">
        <w:rPr>
          <w:rFonts w:ascii="Times New Roman" w:hAnsi="Times New Roman" w:cs="Times New Roman"/>
          <w:color w:val="000000" w:themeColor="text1"/>
          <w:lang w:val="en-GB"/>
        </w:rPr>
        <w:t>.</w:t>
      </w:r>
    </w:p>
    <w:p w14:paraId="1B6567A1" w14:textId="22A73BBB" w:rsidR="007331F3" w:rsidRPr="001E4568" w:rsidRDefault="00F566FE" w:rsidP="00D3385E">
      <w:pPr>
        <w:pStyle w:val="ListParagraph"/>
        <w:numPr>
          <w:ilvl w:val="0"/>
          <w:numId w:val="1"/>
        </w:numPr>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 xml:space="preserve">Millennium Ecosystem Assessment (MEA). (2005). Ecosystems and Human Well-being: Synthesis. Washington, DC: Island Press, </w:t>
      </w:r>
      <w:r w:rsidR="0000609E" w:rsidRPr="001E4568">
        <w:rPr>
          <w:rFonts w:ascii="Times New Roman" w:hAnsi="Times New Roman" w:cs="Times New Roman"/>
          <w:color w:val="000000" w:themeColor="text1"/>
          <w:lang w:val="en-GB"/>
        </w:rPr>
        <w:t>Available</w:t>
      </w:r>
      <w:r w:rsidRPr="001E4568">
        <w:rPr>
          <w:rFonts w:ascii="Times New Roman" w:hAnsi="Times New Roman" w:cs="Times New Roman"/>
          <w:color w:val="000000" w:themeColor="text1"/>
          <w:lang w:val="en-GB"/>
        </w:rPr>
        <w:t xml:space="preserve"> at </w:t>
      </w:r>
      <w:hyperlink r:id="rId40" w:history="1">
        <w:r w:rsidR="007331F3" w:rsidRPr="001E4568">
          <w:rPr>
            <w:rStyle w:val="Hyperlink"/>
            <w:rFonts w:ascii="Times New Roman" w:hAnsi="Times New Roman" w:cs="Times New Roman"/>
            <w:lang w:val="en-GB"/>
          </w:rPr>
          <w:t>https://www.millenniumassessment.org</w:t>
        </w:r>
      </w:hyperlink>
      <w:r w:rsidR="007331F3" w:rsidRPr="001E4568">
        <w:rPr>
          <w:rFonts w:ascii="Times New Roman" w:hAnsi="Times New Roman" w:cs="Times New Roman"/>
          <w:color w:val="000000" w:themeColor="text1"/>
          <w:lang w:val="en-GB"/>
        </w:rPr>
        <w:t>.</w:t>
      </w:r>
    </w:p>
    <w:p w14:paraId="19F2D3AF" w14:textId="793A95C5" w:rsidR="00F566FE" w:rsidRPr="001E4568" w:rsidRDefault="007331F3" w:rsidP="007331F3">
      <w:pPr>
        <w:pStyle w:val="ListParagraph"/>
        <w:numPr>
          <w:ilvl w:val="0"/>
          <w:numId w:val="1"/>
        </w:numPr>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da-DK"/>
        </w:rPr>
        <w:t xml:space="preserve">Jonathan A. Foley et al. </w:t>
      </w:r>
      <w:r w:rsidRPr="001E4568">
        <w:rPr>
          <w:rFonts w:ascii="Times New Roman" w:hAnsi="Times New Roman" w:cs="Times New Roman"/>
          <w:color w:val="000000" w:themeColor="text1"/>
          <w:lang w:val="en-GB"/>
        </w:rPr>
        <w:t xml:space="preserve">(2005). Global Consequences of Land Use. </w:t>
      </w:r>
      <w:r w:rsidRPr="001E4568">
        <w:rPr>
          <w:rFonts w:ascii="Times New Roman" w:hAnsi="Times New Roman" w:cs="Times New Roman"/>
          <w:color w:val="000000" w:themeColor="text1"/>
          <w:lang w:val="de"/>
        </w:rPr>
        <w:t>Science vol. 309, pp. 570-574.DOI:10.1126/science.1111772.</w:t>
      </w:r>
    </w:p>
    <w:p w14:paraId="5403D6E7" w14:textId="6FE0F4E4" w:rsidR="00305AA9" w:rsidRPr="001E4568" w:rsidRDefault="00305AA9" w:rsidP="007331F3">
      <w:pPr>
        <w:pStyle w:val="ListParagraph"/>
        <w:numPr>
          <w:ilvl w:val="0"/>
          <w:numId w:val="1"/>
        </w:numPr>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pl-PL"/>
        </w:rPr>
        <w:t xml:space="preserve">Brady, N. C., Weil, R. R. (2016). </w:t>
      </w:r>
      <w:r w:rsidRPr="001E4568">
        <w:rPr>
          <w:rFonts w:ascii="Times New Roman" w:hAnsi="Times New Roman" w:cs="Times New Roman"/>
          <w:color w:val="000000" w:themeColor="text1"/>
          <w:lang w:val="en-GB"/>
        </w:rPr>
        <w:t xml:space="preserve">The Nature and Properties of Soils (15th ed.). </w:t>
      </w:r>
      <w:r w:rsidRPr="001E4568">
        <w:rPr>
          <w:rFonts w:ascii="Times New Roman" w:hAnsi="Times New Roman" w:cs="Times New Roman"/>
          <w:color w:val="000000" w:themeColor="text1"/>
          <w:lang w:val="de"/>
        </w:rPr>
        <w:t>Pearson Education.</w:t>
      </w:r>
    </w:p>
    <w:p w14:paraId="11982A85" w14:textId="41848C4D" w:rsidR="0088346C" w:rsidRPr="000C1C0A" w:rsidRDefault="00824E8E" w:rsidP="3C5DB29E">
      <w:pPr>
        <w:pStyle w:val="ListParagraph"/>
        <w:numPr>
          <w:ilvl w:val="0"/>
          <w:numId w:val="1"/>
        </w:numPr>
        <w:jc w:val="both"/>
        <w:rPr>
          <w:rFonts w:ascii="Times New Roman" w:hAnsi="Times New Roman" w:cs="Times New Roman"/>
          <w:color w:val="000000" w:themeColor="text1"/>
          <w:lang w:val="en-GB"/>
        </w:rPr>
      </w:pPr>
      <w:r w:rsidRPr="001E4568">
        <w:rPr>
          <w:rFonts w:ascii="Times New Roman" w:hAnsi="Times New Roman" w:cs="Times New Roman"/>
          <w:color w:val="000000" w:themeColor="text1"/>
          <w:lang w:val="en-GB"/>
        </w:rPr>
        <w:t>EU Mission Soil Deal for Europe</w:t>
      </w:r>
      <w:r w:rsidR="000E14A7" w:rsidRPr="001E4568">
        <w:rPr>
          <w:rFonts w:ascii="Times New Roman" w:hAnsi="Times New Roman" w:cs="Times New Roman"/>
          <w:color w:val="000000" w:themeColor="text1"/>
          <w:lang w:val="en-GB"/>
        </w:rPr>
        <w:t xml:space="preserve">. 100 living labs and lighthouses to lead the transition towards </w:t>
      </w:r>
      <w:r w:rsidR="0000609E" w:rsidRPr="001E4568">
        <w:rPr>
          <w:rFonts w:ascii="Times New Roman" w:hAnsi="Times New Roman" w:cs="Times New Roman"/>
          <w:color w:val="000000" w:themeColor="text1"/>
          <w:lang w:val="en-GB"/>
        </w:rPr>
        <w:t>healthy soils</w:t>
      </w:r>
      <w:r w:rsidR="000E14A7" w:rsidRPr="001E4568">
        <w:rPr>
          <w:rFonts w:ascii="Times New Roman" w:hAnsi="Times New Roman" w:cs="Times New Roman"/>
          <w:color w:val="000000" w:themeColor="text1"/>
          <w:lang w:val="en-GB"/>
        </w:rPr>
        <w:t xml:space="preserve"> by 2023.</w:t>
      </w:r>
      <w:r w:rsidRPr="001E4568">
        <w:rPr>
          <w:rFonts w:ascii="Times New Roman" w:hAnsi="Times New Roman" w:cs="Times New Roman"/>
          <w:color w:val="000000" w:themeColor="text1"/>
          <w:lang w:val="en-GB"/>
        </w:rPr>
        <w:t xml:space="preserve"> Implementation plan</w:t>
      </w:r>
      <w:r w:rsidR="006E6A5C" w:rsidRPr="001E4568">
        <w:rPr>
          <w:rFonts w:ascii="Times New Roman" w:hAnsi="Times New Roman" w:cs="Times New Roman"/>
          <w:color w:val="000000" w:themeColor="text1"/>
          <w:lang w:val="en-GB"/>
        </w:rPr>
        <w:t xml:space="preserve">. Available at </w:t>
      </w:r>
      <w:hyperlink r:id="rId41">
        <w:r w:rsidR="006E6A5C" w:rsidRPr="001E4568">
          <w:rPr>
            <w:rStyle w:val="Hyperlink"/>
            <w:rFonts w:ascii="Times New Roman" w:hAnsi="Times New Roman" w:cs="Times New Roman"/>
            <w:lang w:val="en-GB"/>
          </w:rPr>
          <w:t>https://research-and-innovation.ec.europa.eu/knowledge-publications-tools-and-data/publications/all-publications/implementation-plans-eu-missions_en</w:t>
        </w:r>
      </w:hyperlink>
    </w:p>
    <w:sectPr w:rsidR="0088346C" w:rsidRPr="000C1C0A" w:rsidSect="00005425">
      <w:headerReference w:type="default" r:id="rId42"/>
      <w:footerReference w:type="default" r:id="rId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7303F" w14:textId="77777777" w:rsidR="007A6FD8" w:rsidRDefault="007A6FD8" w:rsidP="00D45FCE">
      <w:pPr>
        <w:spacing w:after="0" w:line="240" w:lineRule="auto"/>
      </w:pPr>
      <w:r>
        <w:separator/>
      </w:r>
    </w:p>
  </w:endnote>
  <w:endnote w:type="continuationSeparator" w:id="0">
    <w:p w14:paraId="0EFED698" w14:textId="77777777" w:rsidR="007A6FD8" w:rsidRDefault="007A6FD8" w:rsidP="00D45FCE">
      <w:pPr>
        <w:spacing w:after="0" w:line="240" w:lineRule="auto"/>
      </w:pPr>
      <w:r>
        <w:continuationSeparator/>
      </w:r>
    </w:p>
  </w:endnote>
  <w:endnote w:type="continuationNotice" w:id="1">
    <w:p w14:paraId="4D9A0916" w14:textId="77777777" w:rsidR="007A6FD8" w:rsidRDefault="007A6F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C64" w14:textId="77777777" w:rsidR="00E14DC8" w:rsidRPr="00D45FCE" w:rsidRDefault="00E14DC8" w:rsidP="00D45FCE">
    <w:pPr>
      <w:pStyle w:val="Footer"/>
    </w:pPr>
    <w:r w:rsidRPr="00D45FCE">
      <w:rPr>
        <w:noProof/>
        <w:lang w:val="pl-PL" w:eastAsia="pl-PL"/>
      </w:rPr>
      <w:drawing>
        <wp:anchor distT="0" distB="0" distL="114300" distR="114300" simplePos="0" relativeHeight="251658240" behindDoc="1" locked="0" layoutInCell="1" allowOverlap="1" wp14:anchorId="30695511" wp14:editId="53F14B9A">
          <wp:simplePos x="0" y="0"/>
          <wp:positionH relativeFrom="page">
            <wp:posOffset>-6350</wp:posOffset>
          </wp:positionH>
          <wp:positionV relativeFrom="paragraph">
            <wp:posOffset>-47567</wp:posOffset>
          </wp:positionV>
          <wp:extent cx="7626985" cy="650875"/>
          <wp:effectExtent l="0" t="0" r="0" b="0"/>
          <wp:wrapNone/>
          <wp:docPr id="168302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353" name=""/>
                  <pic:cNvPicPr/>
                </pic:nvPicPr>
                <pic:blipFill>
                  <a:blip r:embed="rId1">
                    <a:extLst>
                      <a:ext uri="{28A0092B-C50C-407E-A947-70E740481C1C}">
                        <a14:useLocalDpi xmlns:a14="http://schemas.microsoft.com/office/drawing/2010/main" val="0"/>
                      </a:ext>
                    </a:extLst>
                  </a:blip>
                  <a:stretch>
                    <a:fillRect/>
                  </a:stretch>
                </pic:blipFill>
                <pic:spPr>
                  <a:xfrm>
                    <a:off x="0" y="0"/>
                    <a:ext cx="7626985" cy="650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CD99A" w14:textId="77777777" w:rsidR="007A6FD8" w:rsidRDefault="007A6FD8" w:rsidP="00D45FCE">
      <w:pPr>
        <w:spacing w:after="0" w:line="240" w:lineRule="auto"/>
      </w:pPr>
      <w:r>
        <w:separator/>
      </w:r>
    </w:p>
  </w:footnote>
  <w:footnote w:type="continuationSeparator" w:id="0">
    <w:p w14:paraId="38DE4ED5" w14:textId="77777777" w:rsidR="007A6FD8" w:rsidRDefault="007A6FD8" w:rsidP="00D45FCE">
      <w:pPr>
        <w:spacing w:after="0" w:line="240" w:lineRule="auto"/>
      </w:pPr>
      <w:r>
        <w:continuationSeparator/>
      </w:r>
    </w:p>
  </w:footnote>
  <w:footnote w:type="continuationNotice" w:id="1">
    <w:p w14:paraId="17872738" w14:textId="77777777" w:rsidR="007A6FD8" w:rsidRDefault="007A6F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3A2" w14:textId="77777777" w:rsidR="00E14DC8" w:rsidRDefault="00E14DC8">
    <w:pPr>
      <w:pStyle w:val="Header"/>
    </w:pPr>
    <w:r>
      <w:rPr>
        <w:noProof/>
        <w:lang w:val="pl-PL" w:eastAsia="pl-PL"/>
      </w:rPr>
      <w:drawing>
        <wp:anchor distT="0" distB="0" distL="114300" distR="114300" simplePos="0" relativeHeight="251658241" behindDoc="0" locked="0" layoutInCell="1" allowOverlap="1" wp14:anchorId="63F9C53D" wp14:editId="00108F4E">
          <wp:simplePos x="0" y="0"/>
          <wp:positionH relativeFrom="column">
            <wp:posOffset>3580938</wp:posOffset>
          </wp:positionH>
          <wp:positionV relativeFrom="paragraph">
            <wp:posOffset>-88496</wp:posOffset>
          </wp:positionV>
          <wp:extent cx="2575560" cy="350520"/>
          <wp:effectExtent l="0" t="0" r="0" b="0"/>
          <wp:wrapNone/>
          <wp:docPr id="106979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pic:spPr>
              </pic:pic>
            </a:graphicData>
          </a:graphic>
        </wp:anchor>
      </w:drawing>
    </w:r>
    <w:r>
      <w:rPr>
        <w:noProof/>
        <w:lang w:val="pl-PL" w:eastAsia="pl-PL"/>
      </w:rPr>
      <w:drawing>
        <wp:anchor distT="0" distB="0" distL="114300" distR="114300" simplePos="0" relativeHeight="251658242" behindDoc="0" locked="0" layoutInCell="1" allowOverlap="1" wp14:anchorId="16564428" wp14:editId="06817B71">
          <wp:simplePos x="0" y="0"/>
          <wp:positionH relativeFrom="column">
            <wp:posOffset>-664152</wp:posOffset>
          </wp:positionH>
          <wp:positionV relativeFrom="paragraph">
            <wp:posOffset>-109682</wp:posOffset>
          </wp:positionV>
          <wp:extent cx="2018049" cy="685800"/>
          <wp:effectExtent l="0" t="0" r="1270" b="0"/>
          <wp:wrapNone/>
          <wp:docPr id="83901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49"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2025"/>
    <w:multiLevelType w:val="hybridMultilevel"/>
    <w:tmpl w:val="D95E74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F04504"/>
    <w:multiLevelType w:val="hybridMultilevel"/>
    <w:tmpl w:val="44D4EE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301F01"/>
    <w:multiLevelType w:val="hybridMultilevel"/>
    <w:tmpl w:val="1F0A4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AC0CC4"/>
    <w:multiLevelType w:val="hybridMultilevel"/>
    <w:tmpl w:val="460A50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2692641">
    <w:abstractNumId w:val="3"/>
  </w:num>
  <w:num w:numId="2" w16cid:durableId="717508464">
    <w:abstractNumId w:val="2"/>
  </w:num>
  <w:num w:numId="3" w16cid:durableId="508981533">
    <w:abstractNumId w:val="0"/>
  </w:num>
  <w:num w:numId="4" w16cid:durableId="195887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CE"/>
    <w:rsid w:val="0000122B"/>
    <w:rsid w:val="00005425"/>
    <w:rsid w:val="0000609E"/>
    <w:rsid w:val="000328C5"/>
    <w:rsid w:val="00040F5F"/>
    <w:rsid w:val="000666CF"/>
    <w:rsid w:val="00072F36"/>
    <w:rsid w:val="000972C1"/>
    <w:rsid w:val="00097541"/>
    <w:rsid w:val="000A1D24"/>
    <w:rsid w:val="000A61D6"/>
    <w:rsid w:val="000C0C36"/>
    <w:rsid w:val="000C1C0A"/>
    <w:rsid w:val="000C7CFD"/>
    <w:rsid w:val="000E14A7"/>
    <w:rsid w:val="000E783F"/>
    <w:rsid w:val="001023E6"/>
    <w:rsid w:val="00103DC5"/>
    <w:rsid w:val="00143C75"/>
    <w:rsid w:val="00145FCE"/>
    <w:rsid w:val="001519D8"/>
    <w:rsid w:val="00167B17"/>
    <w:rsid w:val="001A43DB"/>
    <w:rsid w:val="001A5BD9"/>
    <w:rsid w:val="001B1D9B"/>
    <w:rsid w:val="001B4585"/>
    <w:rsid w:val="001D42F7"/>
    <w:rsid w:val="001D7EC2"/>
    <w:rsid w:val="001E013E"/>
    <w:rsid w:val="001E4568"/>
    <w:rsid w:val="0021576C"/>
    <w:rsid w:val="00235624"/>
    <w:rsid w:val="00245C36"/>
    <w:rsid w:val="00262263"/>
    <w:rsid w:val="00263A54"/>
    <w:rsid w:val="00266FDC"/>
    <w:rsid w:val="002834EC"/>
    <w:rsid w:val="002841B1"/>
    <w:rsid w:val="00286FD8"/>
    <w:rsid w:val="002928B0"/>
    <w:rsid w:val="00295DE0"/>
    <w:rsid w:val="002A25F6"/>
    <w:rsid w:val="002A67F8"/>
    <w:rsid w:val="002B3B16"/>
    <w:rsid w:val="002B433D"/>
    <w:rsid w:val="002F0403"/>
    <w:rsid w:val="002F1A9D"/>
    <w:rsid w:val="003036C6"/>
    <w:rsid w:val="00305AA9"/>
    <w:rsid w:val="00305B7A"/>
    <w:rsid w:val="003222BB"/>
    <w:rsid w:val="00325D69"/>
    <w:rsid w:val="0033472B"/>
    <w:rsid w:val="00336CC7"/>
    <w:rsid w:val="00340A59"/>
    <w:rsid w:val="0035414B"/>
    <w:rsid w:val="00373999"/>
    <w:rsid w:val="00381B1D"/>
    <w:rsid w:val="00392C41"/>
    <w:rsid w:val="0039340A"/>
    <w:rsid w:val="003B4948"/>
    <w:rsid w:val="003B59F1"/>
    <w:rsid w:val="003B59F6"/>
    <w:rsid w:val="003B700C"/>
    <w:rsid w:val="003D7524"/>
    <w:rsid w:val="003F1C18"/>
    <w:rsid w:val="00400A2C"/>
    <w:rsid w:val="00401AC5"/>
    <w:rsid w:val="00403E02"/>
    <w:rsid w:val="004057B3"/>
    <w:rsid w:val="0041374C"/>
    <w:rsid w:val="00430B8F"/>
    <w:rsid w:val="00431FEF"/>
    <w:rsid w:val="00451D6D"/>
    <w:rsid w:val="00481076"/>
    <w:rsid w:val="004A1284"/>
    <w:rsid w:val="004B1424"/>
    <w:rsid w:val="004C6804"/>
    <w:rsid w:val="004E6CA3"/>
    <w:rsid w:val="004F7434"/>
    <w:rsid w:val="0051144D"/>
    <w:rsid w:val="00525540"/>
    <w:rsid w:val="00544C03"/>
    <w:rsid w:val="00550145"/>
    <w:rsid w:val="0055428B"/>
    <w:rsid w:val="00573E13"/>
    <w:rsid w:val="00582A39"/>
    <w:rsid w:val="005A51C5"/>
    <w:rsid w:val="005A766D"/>
    <w:rsid w:val="005E604C"/>
    <w:rsid w:val="005F5916"/>
    <w:rsid w:val="005F70A0"/>
    <w:rsid w:val="006236FB"/>
    <w:rsid w:val="00627419"/>
    <w:rsid w:val="00644919"/>
    <w:rsid w:val="006471A4"/>
    <w:rsid w:val="0064757E"/>
    <w:rsid w:val="0067008A"/>
    <w:rsid w:val="006810B8"/>
    <w:rsid w:val="006A5BAB"/>
    <w:rsid w:val="006A78A6"/>
    <w:rsid w:val="006C4BFC"/>
    <w:rsid w:val="006D24D6"/>
    <w:rsid w:val="006E6A5C"/>
    <w:rsid w:val="006F116C"/>
    <w:rsid w:val="006F2E74"/>
    <w:rsid w:val="006F7FFC"/>
    <w:rsid w:val="007058B1"/>
    <w:rsid w:val="007331F3"/>
    <w:rsid w:val="00742F73"/>
    <w:rsid w:val="0074491D"/>
    <w:rsid w:val="00756CD9"/>
    <w:rsid w:val="00767523"/>
    <w:rsid w:val="00771247"/>
    <w:rsid w:val="00782440"/>
    <w:rsid w:val="00783BF9"/>
    <w:rsid w:val="007A6FD8"/>
    <w:rsid w:val="007C06B2"/>
    <w:rsid w:val="007C4345"/>
    <w:rsid w:val="007C4628"/>
    <w:rsid w:val="007D4ACB"/>
    <w:rsid w:val="007F064D"/>
    <w:rsid w:val="00814E64"/>
    <w:rsid w:val="00824E8E"/>
    <w:rsid w:val="008341D1"/>
    <w:rsid w:val="008366AC"/>
    <w:rsid w:val="0084208D"/>
    <w:rsid w:val="008639D3"/>
    <w:rsid w:val="0087744D"/>
    <w:rsid w:val="0088346C"/>
    <w:rsid w:val="008A1794"/>
    <w:rsid w:val="008D2247"/>
    <w:rsid w:val="008D4AD9"/>
    <w:rsid w:val="008E573B"/>
    <w:rsid w:val="00901C14"/>
    <w:rsid w:val="0090512F"/>
    <w:rsid w:val="009072D9"/>
    <w:rsid w:val="009745EE"/>
    <w:rsid w:val="00976B7B"/>
    <w:rsid w:val="009A04B6"/>
    <w:rsid w:val="009A1009"/>
    <w:rsid w:val="009B0042"/>
    <w:rsid w:val="009B1027"/>
    <w:rsid w:val="009B5DF5"/>
    <w:rsid w:val="009F2FB0"/>
    <w:rsid w:val="009F3CB3"/>
    <w:rsid w:val="009F6001"/>
    <w:rsid w:val="00A10227"/>
    <w:rsid w:val="00A1160B"/>
    <w:rsid w:val="00A35AB2"/>
    <w:rsid w:val="00A37719"/>
    <w:rsid w:val="00A45805"/>
    <w:rsid w:val="00A561D2"/>
    <w:rsid w:val="00A655ED"/>
    <w:rsid w:val="00A80812"/>
    <w:rsid w:val="00AA6CCC"/>
    <w:rsid w:val="00AC054B"/>
    <w:rsid w:val="00AC2856"/>
    <w:rsid w:val="00AC40AC"/>
    <w:rsid w:val="00AC66AB"/>
    <w:rsid w:val="00AD37EC"/>
    <w:rsid w:val="00AD6E49"/>
    <w:rsid w:val="00AE11B5"/>
    <w:rsid w:val="00AE2113"/>
    <w:rsid w:val="00AF434D"/>
    <w:rsid w:val="00B0252A"/>
    <w:rsid w:val="00B16535"/>
    <w:rsid w:val="00B21C9E"/>
    <w:rsid w:val="00B22A51"/>
    <w:rsid w:val="00B23CF2"/>
    <w:rsid w:val="00B2559E"/>
    <w:rsid w:val="00B3143F"/>
    <w:rsid w:val="00B43EA9"/>
    <w:rsid w:val="00B54C32"/>
    <w:rsid w:val="00B6198C"/>
    <w:rsid w:val="00B72AE8"/>
    <w:rsid w:val="00B9292D"/>
    <w:rsid w:val="00BA17DA"/>
    <w:rsid w:val="00BD4C94"/>
    <w:rsid w:val="00BE5454"/>
    <w:rsid w:val="00BE7617"/>
    <w:rsid w:val="00BF19CD"/>
    <w:rsid w:val="00BF7FA3"/>
    <w:rsid w:val="00C04F6E"/>
    <w:rsid w:val="00C21138"/>
    <w:rsid w:val="00C23627"/>
    <w:rsid w:val="00C2543C"/>
    <w:rsid w:val="00C36E3F"/>
    <w:rsid w:val="00C438AF"/>
    <w:rsid w:val="00C517B8"/>
    <w:rsid w:val="00C606FC"/>
    <w:rsid w:val="00C60A38"/>
    <w:rsid w:val="00C6663B"/>
    <w:rsid w:val="00C8583F"/>
    <w:rsid w:val="00C87532"/>
    <w:rsid w:val="00CA1E33"/>
    <w:rsid w:val="00CB0D6C"/>
    <w:rsid w:val="00CB5EC8"/>
    <w:rsid w:val="00CE2639"/>
    <w:rsid w:val="00D32CD6"/>
    <w:rsid w:val="00D32F43"/>
    <w:rsid w:val="00D3385E"/>
    <w:rsid w:val="00D33ED2"/>
    <w:rsid w:val="00D45FCE"/>
    <w:rsid w:val="00D54F67"/>
    <w:rsid w:val="00D600D0"/>
    <w:rsid w:val="00D95FD2"/>
    <w:rsid w:val="00DA15FD"/>
    <w:rsid w:val="00DB0D05"/>
    <w:rsid w:val="00DB4522"/>
    <w:rsid w:val="00DC6B39"/>
    <w:rsid w:val="00DD73DC"/>
    <w:rsid w:val="00DE364D"/>
    <w:rsid w:val="00DF7C39"/>
    <w:rsid w:val="00E03E8D"/>
    <w:rsid w:val="00E14DC8"/>
    <w:rsid w:val="00E15523"/>
    <w:rsid w:val="00E16D11"/>
    <w:rsid w:val="00E410A6"/>
    <w:rsid w:val="00E61C6A"/>
    <w:rsid w:val="00E62F23"/>
    <w:rsid w:val="00E73764"/>
    <w:rsid w:val="00E848B8"/>
    <w:rsid w:val="00EA5E54"/>
    <w:rsid w:val="00EC6030"/>
    <w:rsid w:val="00ED45AD"/>
    <w:rsid w:val="00F11928"/>
    <w:rsid w:val="00F159DB"/>
    <w:rsid w:val="00F50520"/>
    <w:rsid w:val="00F566FE"/>
    <w:rsid w:val="00F71604"/>
    <w:rsid w:val="00F801A5"/>
    <w:rsid w:val="00F97EC8"/>
    <w:rsid w:val="00FC0459"/>
    <w:rsid w:val="0120B70E"/>
    <w:rsid w:val="02F3AD08"/>
    <w:rsid w:val="0321560D"/>
    <w:rsid w:val="038ACCA1"/>
    <w:rsid w:val="03CAA5B5"/>
    <w:rsid w:val="069D3D16"/>
    <w:rsid w:val="08483449"/>
    <w:rsid w:val="09A54ABD"/>
    <w:rsid w:val="0A6A20A6"/>
    <w:rsid w:val="0B501DB7"/>
    <w:rsid w:val="0C1E07BB"/>
    <w:rsid w:val="0F3650C6"/>
    <w:rsid w:val="109C3DB7"/>
    <w:rsid w:val="132DE855"/>
    <w:rsid w:val="14B9D434"/>
    <w:rsid w:val="152C7CC7"/>
    <w:rsid w:val="166A04CD"/>
    <w:rsid w:val="1677CE7D"/>
    <w:rsid w:val="1811A91A"/>
    <w:rsid w:val="1959BD9D"/>
    <w:rsid w:val="19D3786C"/>
    <w:rsid w:val="1FB2A38B"/>
    <w:rsid w:val="21596F9C"/>
    <w:rsid w:val="2237BAB3"/>
    <w:rsid w:val="225A63AD"/>
    <w:rsid w:val="23453E2A"/>
    <w:rsid w:val="2467DD67"/>
    <w:rsid w:val="26D3E50E"/>
    <w:rsid w:val="27C159AD"/>
    <w:rsid w:val="2A6B36B3"/>
    <w:rsid w:val="2A749744"/>
    <w:rsid w:val="2B5FC871"/>
    <w:rsid w:val="2BD05CA5"/>
    <w:rsid w:val="2C6C7817"/>
    <w:rsid w:val="2CD978D7"/>
    <w:rsid w:val="2D6C3AD2"/>
    <w:rsid w:val="2EE21F3C"/>
    <w:rsid w:val="2EFFCF3E"/>
    <w:rsid w:val="2FB38FA0"/>
    <w:rsid w:val="2FC58810"/>
    <w:rsid w:val="3175EB22"/>
    <w:rsid w:val="31C8018C"/>
    <w:rsid w:val="339664F4"/>
    <w:rsid w:val="34C59A6A"/>
    <w:rsid w:val="35E13356"/>
    <w:rsid w:val="3602B68D"/>
    <w:rsid w:val="380CF42D"/>
    <w:rsid w:val="38A1FE9B"/>
    <w:rsid w:val="39814E93"/>
    <w:rsid w:val="39A613D4"/>
    <w:rsid w:val="3B0798DC"/>
    <w:rsid w:val="3C5DB29E"/>
    <w:rsid w:val="3F4FD9A7"/>
    <w:rsid w:val="40289779"/>
    <w:rsid w:val="43B5778F"/>
    <w:rsid w:val="445FBA89"/>
    <w:rsid w:val="460C4326"/>
    <w:rsid w:val="492994D7"/>
    <w:rsid w:val="4BCDAA92"/>
    <w:rsid w:val="4C56CCDF"/>
    <w:rsid w:val="4EC0C425"/>
    <w:rsid w:val="4F25363E"/>
    <w:rsid w:val="4F734429"/>
    <w:rsid w:val="51D26CB4"/>
    <w:rsid w:val="51FCF1B2"/>
    <w:rsid w:val="527CEE95"/>
    <w:rsid w:val="530BC0D3"/>
    <w:rsid w:val="53A8CFB5"/>
    <w:rsid w:val="5421BEFE"/>
    <w:rsid w:val="54237F76"/>
    <w:rsid w:val="55BB9F1B"/>
    <w:rsid w:val="57746F43"/>
    <w:rsid w:val="577D4C5B"/>
    <w:rsid w:val="59A45F59"/>
    <w:rsid w:val="59E1B455"/>
    <w:rsid w:val="5A08A29F"/>
    <w:rsid w:val="5ABEB82E"/>
    <w:rsid w:val="5BBFCE40"/>
    <w:rsid w:val="5C9F42A9"/>
    <w:rsid w:val="6074F090"/>
    <w:rsid w:val="62305FAF"/>
    <w:rsid w:val="6396096C"/>
    <w:rsid w:val="6529DEEA"/>
    <w:rsid w:val="664DA99E"/>
    <w:rsid w:val="6790BDB9"/>
    <w:rsid w:val="679422FD"/>
    <w:rsid w:val="6879B0AA"/>
    <w:rsid w:val="68A74DE5"/>
    <w:rsid w:val="68CD78EC"/>
    <w:rsid w:val="6A6FD913"/>
    <w:rsid w:val="6F1D7D40"/>
    <w:rsid w:val="6FC4A429"/>
    <w:rsid w:val="71C68BEB"/>
    <w:rsid w:val="7223CAC4"/>
    <w:rsid w:val="73F05EC5"/>
    <w:rsid w:val="745D0BD7"/>
    <w:rsid w:val="752595BB"/>
    <w:rsid w:val="7683B95B"/>
    <w:rsid w:val="7A1A8FAE"/>
    <w:rsid w:val="7A1D2063"/>
    <w:rsid w:val="7AFF6273"/>
    <w:rsid w:val="7C89EF0F"/>
    <w:rsid w:val="7D7E013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60D9"/>
  <w15:docId w15:val="{B68DA630-C9BA-439A-AAC7-81E9F4F4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25"/>
  </w:style>
  <w:style w:type="paragraph" w:styleId="Heading1">
    <w:name w:val="heading 1"/>
    <w:basedOn w:val="Normal"/>
    <w:next w:val="Normal"/>
    <w:link w:val="Heading1Char"/>
    <w:uiPriority w:val="9"/>
    <w:qFormat/>
    <w:rsid w:val="00D4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5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5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5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5F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5F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5F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5F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5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5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5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5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5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5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5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5FCE"/>
    <w:rPr>
      <w:rFonts w:eastAsiaTheme="majorEastAsia" w:cstheme="majorBidi"/>
      <w:color w:val="272727" w:themeColor="text1" w:themeTint="D8"/>
    </w:rPr>
  </w:style>
  <w:style w:type="paragraph" w:styleId="Title">
    <w:name w:val="Title"/>
    <w:basedOn w:val="Normal"/>
    <w:next w:val="Normal"/>
    <w:link w:val="TitleChar"/>
    <w:uiPriority w:val="10"/>
    <w:qFormat/>
    <w:rsid w:val="00D45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5F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5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5FCE"/>
    <w:pPr>
      <w:spacing w:before="160"/>
      <w:jc w:val="center"/>
    </w:pPr>
    <w:rPr>
      <w:i/>
      <w:iCs/>
      <w:color w:val="404040" w:themeColor="text1" w:themeTint="BF"/>
    </w:rPr>
  </w:style>
  <w:style w:type="character" w:customStyle="1" w:styleId="QuoteChar">
    <w:name w:val="Quote Char"/>
    <w:basedOn w:val="DefaultParagraphFont"/>
    <w:link w:val="Quote"/>
    <w:uiPriority w:val="29"/>
    <w:rsid w:val="00D45FCE"/>
    <w:rPr>
      <w:i/>
      <w:iCs/>
      <w:color w:val="404040" w:themeColor="text1" w:themeTint="BF"/>
    </w:rPr>
  </w:style>
  <w:style w:type="paragraph" w:styleId="ListParagraph">
    <w:name w:val="List Paragraph"/>
    <w:basedOn w:val="Normal"/>
    <w:uiPriority w:val="34"/>
    <w:qFormat/>
    <w:rsid w:val="00D45FCE"/>
    <w:pPr>
      <w:ind w:left="720"/>
      <w:contextualSpacing/>
    </w:pPr>
  </w:style>
  <w:style w:type="character" w:styleId="IntenseEmphasis">
    <w:name w:val="Intense Emphasis"/>
    <w:basedOn w:val="DefaultParagraphFont"/>
    <w:uiPriority w:val="21"/>
    <w:qFormat/>
    <w:rsid w:val="00D45FCE"/>
    <w:rPr>
      <w:i/>
      <w:iCs/>
      <w:color w:val="0F4761" w:themeColor="accent1" w:themeShade="BF"/>
    </w:rPr>
  </w:style>
  <w:style w:type="paragraph" w:styleId="IntenseQuote">
    <w:name w:val="Intense Quote"/>
    <w:basedOn w:val="Normal"/>
    <w:next w:val="Normal"/>
    <w:link w:val="IntenseQuoteChar"/>
    <w:uiPriority w:val="30"/>
    <w:qFormat/>
    <w:rsid w:val="00D4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5FCE"/>
    <w:rPr>
      <w:i/>
      <w:iCs/>
      <w:color w:val="0F4761" w:themeColor="accent1" w:themeShade="BF"/>
    </w:rPr>
  </w:style>
  <w:style w:type="character" w:styleId="IntenseReference">
    <w:name w:val="Intense Reference"/>
    <w:basedOn w:val="DefaultParagraphFont"/>
    <w:uiPriority w:val="32"/>
    <w:qFormat/>
    <w:rsid w:val="00D45FCE"/>
    <w:rPr>
      <w:b/>
      <w:bCs/>
      <w:smallCaps/>
      <w:color w:val="0F4761" w:themeColor="accent1" w:themeShade="BF"/>
      <w:spacing w:val="5"/>
    </w:rPr>
  </w:style>
  <w:style w:type="paragraph" w:styleId="Header">
    <w:name w:val="header"/>
    <w:basedOn w:val="Normal"/>
    <w:link w:val="HeaderChar"/>
    <w:uiPriority w:val="99"/>
    <w:unhideWhenUsed/>
    <w:rsid w:val="00D45F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D45FCE"/>
  </w:style>
  <w:style w:type="paragraph" w:styleId="Footer">
    <w:name w:val="footer"/>
    <w:basedOn w:val="Normal"/>
    <w:link w:val="FooterChar"/>
    <w:uiPriority w:val="99"/>
    <w:unhideWhenUsed/>
    <w:rsid w:val="00D45F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D45FCE"/>
  </w:style>
  <w:style w:type="table" w:styleId="TableGrid">
    <w:name w:val="Table Grid"/>
    <w:basedOn w:val="TableNormal"/>
    <w:uiPriority w:val="39"/>
    <w:rsid w:val="00AD6E49"/>
    <w:pPr>
      <w:spacing w:after="0" w:line="240" w:lineRule="auto"/>
    </w:pPr>
    <w:rPr>
      <w:kern w:val="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E49"/>
    <w:rPr>
      <w:color w:val="0000FF"/>
      <w:u w:val="single"/>
    </w:rPr>
  </w:style>
  <w:style w:type="character" w:styleId="UnresolvedMention">
    <w:name w:val="Unresolved Mention"/>
    <w:basedOn w:val="DefaultParagraphFont"/>
    <w:uiPriority w:val="99"/>
    <w:semiHidden/>
    <w:unhideWhenUsed/>
    <w:rsid w:val="002834EC"/>
    <w:rPr>
      <w:color w:val="605E5C"/>
      <w:shd w:val="clear" w:color="auto" w:fill="E1DFDD"/>
    </w:rPr>
  </w:style>
  <w:style w:type="paragraph" w:styleId="NormalWeb">
    <w:name w:val="Normal (Web)"/>
    <w:basedOn w:val="Normal"/>
    <w:uiPriority w:val="99"/>
    <w:semiHidden/>
    <w:unhideWhenUsed/>
    <w:rsid w:val="003B4948"/>
    <w:pPr>
      <w:spacing w:before="100" w:beforeAutospacing="1" w:after="100" w:afterAutospacing="1" w:line="240" w:lineRule="auto"/>
    </w:pPr>
    <w:rPr>
      <w:rFonts w:ascii="Times New Roman" w:eastAsia="Times New Roman" w:hAnsi="Times New Roman" w:cs="Times New Roman"/>
      <w:kern w:val="0"/>
      <w:sz w:val="24"/>
      <w:szCs w:val="24"/>
      <w:lang w:val="pl-PL" w:eastAsia="pl-PL"/>
    </w:rPr>
  </w:style>
  <w:style w:type="character" w:styleId="FollowedHyperlink">
    <w:name w:val="FollowedHyperlink"/>
    <w:basedOn w:val="DefaultParagraphFont"/>
    <w:uiPriority w:val="99"/>
    <w:semiHidden/>
    <w:unhideWhenUsed/>
    <w:rsid w:val="005F70A0"/>
    <w:rPr>
      <w:color w:val="96607D" w:themeColor="followedHyperlink"/>
      <w:u w:val="single"/>
    </w:rPr>
  </w:style>
  <w:style w:type="paragraph" w:styleId="EndnoteText">
    <w:name w:val="endnote text"/>
    <w:basedOn w:val="Normal"/>
    <w:link w:val="EndnoteTextChar"/>
    <w:uiPriority w:val="99"/>
    <w:semiHidden/>
    <w:unhideWhenUsed/>
    <w:rsid w:val="00B929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92D"/>
    <w:rPr>
      <w:sz w:val="20"/>
      <w:szCs w:val="20"/>
    </w:rPr>
  </w:style>
  <w:style w:type="character" w:styleId="EndnoteReference">
    <w:name w:val="endnote reference"/>
    <w:basedOn w:val="DefaultParagraphFont"/>
    <w:uiPriority w:val="99"/>
    <w:semiHidden/>
    <w:unhideWhenUsed/>
    <w:rsid w:val="00B9292D"/>
    <w:rPr>
      <w:vertAlign w:val="superscript"/>
    </w:rPr>
  </w:style>
  <w:style w:type="character" w:styleId="CommentReference">
    <w:name w:val="annotation reference"/>
    <w:basedOn w:val="DefaultParagraphFont"/>
    <w:uiPriority w:val="99"/>
    <w:semiHidden/>
    <w:unhideWhenUsed/>
    <w:rsid w:val="003222BB"/>
    <w:rPr>
      <w:sz w:val="16"/>
      <w:szCs w:val="16"/>
    </w:rPr>
  </w:style>
  <w:style w:type="paragraph" w:styleId="CommentText">
    <w:name w:val="annotation text"/>
    <w:basedOn w:val="Normal"/>
    <w:link w:val="CommentTextChar"/>
    <w:uiPriority w:val="99"/>
    <w:unhideWhenUsed/>
    <w:rsid w:val="003222BB"/>
    <w:pPr>
      <w:spacing w:line="240" w:lineRule="auto"/>
    </w:pPr>
    <w:rPr>
      <w:sz w:val="20"/>
      <w:szCs w:val="20"/>
    </w:rPr>
  </w:style>
  <w:style w:type="character" w:customStyle="1" w:styleId="CommentTextChar">
    <w:name w:val="Comment Text Char"/>
    <w:basedOn w:val="DefaultParagraphFont"/>
    <w:link w:val="CommentText"/>
    <w:uiPriority w:val="99"/>
    <w:rsid w:val="003222BB"/>
    <w:rPr>
      <w:sz w:val="20"/>
      <w:szCs w:val="20"/>
    </w:rPr>
  </w:style>
  <w:style w:type="paragraph" w:styleId="CommentSubject">
    <w:name w:val="annotation subject"/>
    <w:basedOn w:val="CommentText"/>
    <w:next w:val="CommentText"/>
    <w:link w:val="CommentSubjectChar"/>
    <w:uiPriority w:val="99"/>
    <w:semiHidden/>
    <w:unhideWhenUsed/>
    <w:rsid w:val="003222BB"/>
    <w:rPr>
      <w:b/>
      <w:bCs/>
    </w:rPr>
  </w:style>
  <w:style w:type="character" w:customStyle="1" w:styleId="CommentSubjectChar">
    <w:name w:val="Comment Subject Char"/>
    <w:basedOn w:val="CommentTextChar"/>
    <w:link w:val="CommentSubject"/>
    <w:uiPriority w:val="99"/>
    <w:semiHidden/>
    <w:rsid w:val="003222BB"/>
    <w:rPr>
      <w:b/>
      <w:bCs/>
      <w:sz w:val="20"/>
      <w:szCs w:val="20"/>
    </w:rPr>
  </w:style>
  <w:style w:type="paragraph" w:styleId="BalloonText">
    <w:name w:val="Balloon Text"/>
    <w:basedOn w:val="Normal"/>
    <w:link w:val="BalloonTextChar"/>
    <w:uiPriority w:val="99"/>
    <w:semiHidden/>
    <w:unhideWhenUsed/>
    <w:rsid w:val="00322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2BB"/>
    <w:rPr>
      <w:rFonts w:ascii="Segoe UI" w:hAnsi="Segoe UI" w:cs="Segoe UI"/>
      <w:sz w:val="18"/>
      <w:szCs w:val="18"/>
    </w:rPr>
  </w:style>
  <w:style w:type="paragraph" w:styleId="Revision">
    <w:name w:val="Revision"/>
    <w:hidden/>
    <w:uiPriority w:val="99"/>
    <w:semiHidden/>
    <w:rsid w:val="00CE2639"/>
    <w:pPr>
      <w:spacing w:after="0" w:line="240" w:lineRule="auto"/>
    </w:pPr>
  </w:style>
  <w:style w:type="character" w:styleId="Emphasis">
    <w:name w:val="Emphasis"/>
    <w:basedOn w:val="DefaultParagraphFont"/>
    <w:uiPriority w:val="20"/>
    <w:qFormat/>
    <w:rsid w:val="00A8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97352">
      <w:bodyDiv w:val="1"/>
      <w:marLeft w:val="0"/>
      <w:marRight w:val="0"/>
      <w:marTop w:val="0"/>
      <w:marBottom w:val="0"/>
      <w:divBdr>
        <w:top w:val="none" w:sz="0" w:space="0" w:color="auto"/>
        <w:left w:val="none" w:sz="0" w:space="0" w:color="auto"/>
        <w:bottom w:val="none" w:sz="0" w:space="0" w:color="auto"/>
        <w:right w:val="none" w:sz="0" w:space="0" w:color="auto"/>
      </w:divBdr>
      <w:divsChild>
        <w:div w:id="1305309592">
          <w:marLeft w:val="0"/>
          <w:marRight w:val="0"/>
          <w:marTop w:val="240"/>
          <w:marBottom w:val="240"/>
          <w:divBdr>
            <w:top w:val="none" w:sz="0" w:space="0" w:color="auto"/>
            <w:left w:val="none" w:sz="0" w:space="0" w:color="auto"/>
            <w:bottom w:val="none" w:sz="0" w:space="0" w:color="auto"/>
            <w:right w:val="none" w:sz="0" w:space="0" w:color="auto"/>
          </w:divBdr>
        </w:div>
        <w:div w:id="1849445323">
          <w:marLeft w:val="0"/>
          <w:marRight w:val="0"/>
          <w:marTop w:val="240"/>
          <w:marBottom w:val="240"/>
          <w:divBdr>
            <w:top w:val="none" w:sz="0" w:space="0" w:color="auto"/>
            <w:left w:val="none" w:sz="0" w:space="0" w:color="auto"/>
            <w:bottom w:val="none" w:sz="0" w:space="0" w:color="auto"/>
            <w:right w:val="none" w:sz="0" w:space="0" w:color="auto"/>
          </w:divBdr>
        </w:div>
        <w:div w:id="1177381033">
          <w:marLeft w:val="0"/>
          <w:marRight w:val="0"/>
          <w:marTop w:val="240"/>
          <w:marBottom w:val="240"/>
          <w:divBdr>
            <w:top w:val="none" w:sz="0" w:space="0" w:color="auto"/>
            <w:left w:val="none" w:sz="0" w:space="0" w:color="auto"/>
            <w:bottom w:val="none" w:sz="0" w:space="0" w:color="auto"/>
            <w:right w:val="none" w:sz="0" w:space="0" w:color="auto"/>
          </w:divBdr>
        </w:div>
        <w:div w:id="1199665017">
          <w:marLeft w:val="0"/>
          <w:marRight w:val="0"/>
          <w:marTop w:val="240"/>
          <w:marBottom w:val="240"/>
          <w:divBdr>
            <w:top w:val="none" w:sz="0" w:space="0" w:color="auto"/>
            <w:left w:val="none" w:sz="0" w:space="0" w:color="auto"/>
            <w:bottom w:val="none" w:sz="0" w:space="0" w:color="auto"/>
            <w:right w:val="none" w:sz="0" w:space="0" w:color="auto"/>
          </w:divBdr>
        </w:div>
        <w:div w:id="478769567">
          <w:marLeft w:val="0"/>
          <w:marRight w:val="0"/>
          <w:marTop w:val="240"/>
          <w:marBottom w:val="240"/>
          <w:divBdr>
            <w:top w:val="none" w:sz="0" w:space="0" w:color="auto"/>
            <w:left w:val="none" w:sz="0" w:space="0" w:color="auto"/>
            <w:bottom w:val="none" w:sz="0" w:space="0" w:color="auto"/>
            <w:right w:val="none" w:sz="0" w:space="0" w:color="auto"/>
          </w:divBdr>
        </w:div>
        <w:div w:id="2096780357">
          <w:marLeft w:val="0"/>
          <w:marRight w:val="0"/>
          <w:marTop w:val="240"/>
          <w:marBottom w:val="240"/>
          <w:divBdr>
            <w:top w:val="none" w:sz="0" w:space="0" w:color="auto"/>
            <w:left w:val="none" w:sz="0" w:space="0" w:color="auto"/>
            <w:bottom w:val="none" w:sz="0" w:space="0" w:color="auto"/>
            <w:right w:val="none" w:sz="0" w:space="0" w:color="auto"/>
          </w:divBdr>
        </w:div>
        <w:div w:id="2106342159">
          <w:marLeft w:val="0"/>
          <w:marRight w:val="0"/>
          <w:marTop w:val="240"/>
          <w:marBottom w:val="240"/>
          <w:divBdr>
            <w:top w:val="none" w:sz="0" w:space="0" w:color="auto"/>
            <w:left w:val="none" w:sz="0" w:space="0" w:color="auto"/>
            <w:bottom w:val="none" w:sz="0" w:space="0" w:color="auto"/>
            <w:right w:val="none" w:sz="0" w:space="0" w:color="auto"/>
          </w:divBdr>
        </w:div>
        <w:div w:id="1274020172">
          <w:marLeft w:val="0"/>
          <w:marRight w:val="0"/>
          <w:marTop w:val="240"/>
          <w:marBottom w:val="240"/>
          <w:divBdr>
            <w:top w:val="none" w:sz="0" w:space="0" w:color="auto"/>
            <w:left w:val="none" w:sz="0" w:space="0" w:color="auto"/>
            <w:bottom w:val="none" w:sz="0" w:space="0" w:color="auto"/>
            <w:right w:val="none" w:sz="0" w:space="0" w:color="auto"/>
          </w:divBdr>
        </w:div>
        <w:div w:id="1492479507">
          <w:marLeft w:val="0"/>
          <w:marRight w:val="0"/>
          <w:marTop w:val="240"/>
          <w:marBottom w:val="240"/>
          <w:divBdr>
            <w:top w:val="none" w:sz="0" w:space="0" w:color="auto"/>
            <w:left w:val="none" w:sz="0" w:space="0" w:color="auto"/>
            <w:bottom w:val="none" w:sz="0" w:space="0" w:color="auto"/>
            <w:right w:val="none" w:sz="0" w:space="0" w:color="auto"/>
          </w:divBdr>
        </w:div>
        <w:div w:id="36273026">
          <w:marLeft w:val="0"/>
          <w:marRight w:val="0"/>
          <w:marTop w:val="240"/>
          <w:marBottom w:val="240"/>
          <w:divBdr>
            <w:top w:val="none" w:sz="0" w:space="0" w:color="auto"/>
            <w:left w:val="none" w:sz="0" w:space="0" w:color="auto"/>
            <w:bottom w:val="none" w:sz="0" w:space="0" w:color="auto"/>
            <w:right w:val="none" w:sz="0" w:space="0" w:color="auto"/>
          </w:divBdr>
        </w:div>
        <w:div w:id="1435443931">
          <w:marLeft w:val="0"/>
          <w:marRight w:val="0"/>
          <w:marTop w:val="240"/>
          <w:marBottom w:val="240"/>
          <w:divBdr>
            <w:top w:val="none" w:sz="0" w:space="0" w:color="auto"/>
            <w:left w:val="none" w:sz="0" w:space="0" w:color="auto"/>
            <w:bottom w:val="none" w:sz="0" w:space="0" w:color="auto"/>
            <w:right w:val="none" w:sz="0" w:space="0" w:color="auto"/>
          </w:divBdr>
        </w:div>
        <w:div w:id="1069771035">
          <w:marLeft w:val="0"/>
          <w:marRight w:val="0"/>
          <w:marTop w:val="240"/>
          <w:marBottom w:val="240"/>
          <w:divBdr>
            <w:top w:val="none" w:sz="0" w:space="0" w:color="auto"/>
            <w:left w:val="none" w:sz="0" w:space="0" w:color="auto"/>
            <w:bottom w:val="none" w:sz="0" w:space="0" w:color="auto"/>
            <w:right w:val="none" w:sz="0" w:space="0" w:color="auto"/>
          </w:divBdr>
        </w:div>
        <w:div w:id="1207332433">
          <w:marLeft w:val="0"/>
          <w:marRight w:val="0"/>
          <w:marTop w:val="240"/>
          <w:marBottom w:val="240"/>
          <w:divBdr>
            <w:top w:val="none" w:sz="0" w:space="0" w:color="auto"/>
            <w:left w:val="none" w:sz="0" w:space="0" w:color="auto"/>
            <w:bottom w:val="none" w:sz="0" w:space="0" w:color="auto"/>
            <w:right w:val="none" w:sz="0" w:space="0" w:color="auto"/>
          </w:divBdr>
        </w:div>
        <w:div w:id="1428113457">
          <w:marLeft w:val="0"/>
          <w:marRight w:val="0"/>
          <w:marTop w:val="240"/>
          <w:marBottom w:val="240"/>
          <w:divBdr>
            <w:top w:val="none" w:sz="0" w:space="0" w:color="auto"/>
            <w:left w:val="none" w:sz="0" w:space="0" w:color="auto"/>
            <w:bottom w:val="none" w:sz="0" w:space="0" w:color="auto"/>
            <w:right w:val="none" w:sz="0" w:space="0" w:color="auto"/>
          </w:divBdr>
        </w:div>
        <w:div w:id="512114828">
          <w:marLeft w:val="0"/>
          <w:marRight w:val="0"/>
          <w:marTop w:val="240"/>
          <w:marBottom w:val="240"/>
          <w:divBdr>
            <w:top w:val="none" w:sz="0" w:space="0" w:color="auto"/>
            <w:left w:val="none" w:sz="0" w:space="0" w:color="auto"/>
            <w:bottom w:val="none" w:sz="0" w:space="0" w:color="auto"/>
            <w:right w:val="none" w:sz="0" w:space="0" w:color="auto"/>
          </w:divBdr>
        </w:div>
        <w:div w:id="1683168204">
          <w:marLeft w:val="0"/>
          <w:marRight w:val="0"/>
          <w:marTop w:val="240"/>
          <w:marBottom w:val="240"/>
          <w:divBdr>
            <w:top w:val="none" w:sz="0" w:space="0" w:color="auto"/>
            <w:left w:val="none" w:sz="0" w:space="0" w:color="auto"/>
            <w:bottom w:val="none" w:sz="0" w:space="0" w:color="auto"/>
            <w:right w:val="none" w:sz="0" w:space="0" w:color="auto"/>
          </w:divBdr>
        </w:div>
        <w:div w:id="1979410749">
          <w:marLeft w:val="0"/>
          <w:marRight w:val="0"/>
          <w:marTop w:val="240"/>
          <w:marBottom w:val="240"/>
          <w:divBdr>
            <w:top w:val="none" w:sz="0" w:space="0" w:color="auto"/>
            <w:left w:val="none" w:sz="0" w:space="0" w:color="auto"/>
            <w:bottom w:val="none" w:sz="0" w:space="0" w:color="auto"/>
            <w:right w:val="none" w:sz="0" w:space="0" w:color="auto"/>
          </w:divBdr>
        </w:div>
        <w:div w:id="2069067341">
          <w:marLeft w:val="0"/>
          <w:marRight w:val="0"/>
          <w:marTop w:val="240"/>
          <w:marBottom w:val="240"/>
          <w:divBdr>
            <w:top w:val="none" w:sz="0" w:space="0" w:color="auto"/>
            <w:left w:val="none" w:sz="0" w:space="0" w:color="auto"/>
            <w:bottom w:val="none" w:sz="0" w:space="0" w:color="auto"/>
            <w:right w:val="none" w:sz="0" w:space="0" w:color="auto"/>
          </w:divBdr>
        </w:div>
        <w:div w:id="336924548">
          <w:marLeft w:val="0"/>
          <w:marRight w:val="0"/>
          <w:marTop w:val="240"/>
          <w:marBottom w:val="240"/>
          <w:divBdr>
            <w:top w:val="none" w:sz="0" w:space="0" w:color="auto"/>
            <w:left w:val="none" w:sz="0" w:space="0" w:color="auto"/>
            <w:bottom w:val="none" w:sz="0" w:space="0" w:color="auto"/>
            <w:right w:val="none" w:sz="0" w:space="0" w:color="auto"/>
          </w:divBdr>
        </w:div>
        <w:div w:id="1252466446">
          <w:marLeft w:val="0"/>
          <w:marRight w:val="0"/>
          <w:marTop w:val="240"/>
          <w:marBottom w:val="240"/>
          <w:divBdr>
            <w:top w:val="none" w:sz="0" w:space="0" w:color="auto"/>
            <w:left w:val="none" w:sz="0" w:space="0" w:color="auto"/>
            <w:bottom w:val="none" w:sz="0" w:space="0" w:color="auto"/>
            <w:right w:val="none" w:sz="0" w:space="0" w:color="auto"/>
          </w:divBdr>
        </w:div>
        <w:div w:id="1516311873">
          <w:marLeft w:val="0"/>
          <w:marRight w:val="0"/>
          <w:marTop w:val="240"/>
          <w:marBottom w:val="240"/>
          <w:divBdr>
            <w:top w:val="none" w:sz="0" w:space="0" w:color="auto"/>
            <w:left w:val="none" w:sz="0" w:space="0" w:color="auto"/>
            <w:bottom w:val="none" w:sz="0" w:space="0" w:color="auto"/>
            <w:right w:val="none" w:sz="0" w:space="0" w:color="auto"/>
          </w:divBdr>
        </w:div>
        <w:div w:id="1675957274">
          <w:marLeft w:val="0"/>
          <w:marRight w:val="0"/>
          <w:marTop w:val="240"/>
          <w:marBottom w:val="240"/>
          <w:divBdr>
            <w:top w:val="none" w:sz="0" w:space="0" w:color="auto"/>
            <w:left w:val="none" w:sz="0" w:space="0" w:color="auto"/>
            <w:bottom w:val="none" w:sz="0" w:space="0" w:color="auto"/>
            <w:right w:val="none" w:sz="0" w:space="0" w:color="auto"/>
          </w:divBdr>
        </w:div>
        <w:div w:id="1156603138">
          <w:marLeft w:val="0"/>
          <w:marRight w:val="0"/>
          <w:marTop w:val="240"/>
          <w:marBottom w:val="240"/>
          <w:divBdr>
            <w:top w:val="none" w:sz="0" w:space="0" w:color="auto"/>
            <w:left w:val="none" w:sz="0" w:space="0" w:color="auto"/>
            <w:bottom w:val="none" w:sz="0" w:space="0" w:color="auto"/>
            <w:right w:val="none" w:sz="0" w:space="0" w:color="auto"/>
          </w:divBdr>
        </w:div>
        <w:div w:id="770734877">
          <w:marLeft w:val="0"/>
          <w:marRight w:val="0"/>
          <w:marTop w:val="240"/>
          <w:marBottom w:val="240"/>
          <w:divBdr>
            <w:top w:val="none" w:sz="0" w:space="0" w:color="auto"/>
            <w:left w:val="none" w:sz="0" w:space="0" w:color="auto"/>
            <w:bottom w:val="none" w:sz="0" w:space="0" w:color="auto"/>
            <w:right w:val="none" w:sz="0" w:space="0" w:color="auto"/>
          </w:divBdr>
        </w:div>
        <w:div w:id="1109352611">
          <w:marLeft w:val="0"/>
          <w:marRight w:val="0"/>
          <w:marTop w:val="240"/>
          <w:marBottom w:val="240"/>
          <w:divBdr>
            <w:top w:val="none" w:sz="0" w:space="0" w:color="auto"/>
            <w:left w:val="none" w:sz="0" w:space="0" w:color="auto"/>
            <w:bottom w:val="none" w:sz="0" w:space="0" w:color="auto"/>
            <w:right w:val="none" w:sz="0" w:space="0" w:color="auto"/>
          </w:divBdr>
        </w:div>
        <w:div w:id="1622762177">
          <w:marLeft w:val="0"/>
          <w:marRight w:val="0"/>
          <w:marTop w:val="240"/>
          <w:marBottom w:val="240"/>
          <w:divBdr>
            <w:top w:val="none" w:sz="0" w:space="0" w:color="auto"/>
            <w:left w:val="none" w:sz="0" w:space="0" w:color="auto"/>
            <w:bottom w:val="none" w:sz="0" w:space="0" w:color="auto"/>
            <w:right w:val="none" w:sz="0" w:space="0" w:color="auto"/>
          </w:divBdr>
        </w:div>
      </w:divsChild>
    </w:div>
    <w:div w:id="844591377">
      <w:bodyDiv w:val="1"/>
      <w:marLeft w:val="0"/>
      <w:marRight w:val="0"/>
      <w:marTop w:val="0"/>
      <w:marBottom w:val="0"/>
      <w:divBdr>
        <w:top w:val="none" w:sz="0" w:space="0" w:color="auto"/>
        <w:left w:val="none" w:sz="0" w:space="0" w:color="auto"/>
        <w:bottom w:val="none" w:sz="0" w:space="0" w:color="auto"/>
        <w:right w:val="none" w:sz="0" w:space="0" w:color="auto"/>
      </w:divBdr>
    </w:div>
    <w:div w:id="1632202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8126">
          <w:marLeft w:val="0"/>
          <w:marRight w:val="0"/>
          <w:marTop w:val="240"/>
          <w:marBottom w:val="240"/>
          <w:divBdr>
            <w:top w:val="none" w:sz="0" w:space="0" w:color="auto"/>
            <w:left w:val="none" w:sz="0" w:space="0" w:color="auto"/>
            <w:bottom w:val="none" w:sz="0" w:space="0" w:color="auto"/>
            <w:right w:val="none" w:sz="0" w:space="0" w:color="auto"/>
          </w:divBdr>
        </w:div>
        <w:div w:id="1852598321">
          <w:marLeft w:val="0"/>
          <w:marRight w:val="0"/>
          <w:marTop w:val="240"/>
          <w:marBottom w:val="240"/>
          <w:divBdr>
            <w:top w:val="none" w:sz="0" w:space="0" w:color="auto"/>
            <w:left w:val="none" w:sz="0" w:space="0" w:color="auto"/>
            <w:bottom w:val="none" w:sz="0" w:space="0" w:color="auto"/>
            <w:right w:val="none" w:sz="0" w:space="0" w:color="auto"/>
          </w:divBdr>
        </w:div>
        <w:div w:id="1186746272">
          <w:marLeft w:val="0"/>
          <w:marRight w:val="0"/>
          <w:marTop w:val="240"/>
          <w:marBottom w:val="240"/>
          <w:divBdr>
            <w:top w:val="none" w:sz="0" w:space="0" w:color="auto"/>
            <w:left w:val="none" w:sz="0" w:space="0" w:color="auto"/>
            <w:bottom w:val="none" w:sz="0" w:space="0" w:color="auto"/>
            <w:right w:val="none" w:sz="0" w:space="0" w:color="auto"/>
          </w:divBdr>
        </w:div>
        <w:div w:id="1502310922">
          <w:marLeft w:val="0"/>
          <w:marRight w:val="0"/>
          <w:marTop w:val="240"/>
          <w:marBottom w:val="240"/>
          <w:divBdr>
            <w:top w:val="none" w:sz="0" w:space="0" w:color="auto"/>
            <w:left w:val="none" w:sz="0" w:space="0" w:color="auto"/>
            <w:bottom w:val="none" w:sz="0" w:space="0" w:color="auto"/>
            <w:right w:val="none" w:sz="0" w:space="0" w:color="auto"/>
          </w:divBdr>
        </w:div>
        <w:div w:id="104929514">
          <w:marLeft w:val="0"/>
          <w:marRight w:val="0"/>
          <w:marTop w:val="240"/>
          <w:marBottom w:val="240"/>
          <w:divBdr>
            <w:top w:val="none" w:sz="0" w:space="0" w:color="auto"/>
            <w:left w:val="none" w:sz="0" w:space="0" w:color="auto"/>
            <w:bottom w:val="none" w:sz="0" w:space="0" w:color="auto"/>
            <w:right w:val="none" w:sz="0" w:space="0" w:color="auto"/>
          </w:divBdr>
        </w:div>
        <w:div w:id="1641304410">
          <w:marLeft w:val="0"/>
          <w:marRight w:val="0"/>
          <w:marTop w:val="240"/>
          <w:marBottom w:val="240"/>
          <w:divBdr>
            <w:top w:val="none" w:sz="0" w:space="0" w:color="auto"/>
            <w:left w:val="none" w:sz="0" w:space="0" w:color="auto"/>
            <w:bottom w:val="none" w:sz="0" w:space="0" w:color="auto"/>
            <w:right w:val="none" w:sz="0" w:space="0" w:color="auto"/>
          </w:divBdr>
        </w:div>
        <w:div w:id="33817385">
          <w:marLeft w:val="0"/>
          <w:marRight w:val="0"/>
          <w:marTop w:val="240"/>
          <w:marBottom w:val="240"/>
          <w:divBdr>
            <w:top w:val="none" w:sz="0" w:space="0" w:color="auto"/>
            <w:left w:val="none" w:sz="0" w:space="0" w:color="auto"/>
            <w:bottom w:val="none" w:sz="0" w:space="0" w:color="auto"/>
            <w:right w:val="none" w:sz="0" w:space="0" w:color="auto"/>
          </w:divBdr>
        </w:div>
        <w:div w:id="833959627">
          <w:marLeft w:val="0"/>
          <w:marRight w:val="0"/>
          <w:marTop w:val="240"/>
          <w:marBottom w:val="240"/>
          <w:divBdr>
            <w:top w:val="none" w:sz="0" w:space="0" w:color="auto"/>
            <w:left w:val="none" w:sz="0" w:space="0" w:color="auto"/>
            <w:bottom w:val="none" w:sz="0" w:space="0" w:color="auto"/>
            <w:right w:val="none" w:sz="0" w:space="0" w:color="auto"/>
          </w:divBdr>
        </w:div>
        <w:div w:id="699086555">
          <w:marLeft w:val="0"/>
          <w:marRight w:val="0"/>
          <w:marTop w:val="240"/>
          <w:marBottom w:val="240"/>
          <w:divBdr>
            <w:top w:val="none" w:sz="0" w:space="0" w:color="auto"/>
            <w:left w:val="none" w:sz="0" w:space="0" w:color="auto"/>
            <w:bottom w:val="none" w:sz="0" w:space="0" w:color="auto"/>
            <w:right w:val="none" w:sz="0" w:space="0" w:color="auto"/>
          </w:divBdr>
        </w:div>
        <w:div w:id="2020501163">
          <w:marLeft w:val="0"/>
          <w:marRight w:val="0"/>
          <w:marTop w:val="240"/>
          <w:marBottom w:val="240"/>
          <w:divBdr>
            <w:top w:val="none" w:sz="0" w:space="0" w:color="auto"/>
            <w:left w:val="none" w:sz="0" w:space="0" w:color="auto"/>
            <w:bottom w:val="none" w:sz="0" w:space="0" w:color="auto"/>
            <w:right w:val="none" w:sz="0" w:space="0" w:color="auto"/>
          </w:divBdr>
        </w:div>
        <w:div w:id="1157460071">
          <w:marLeft w:val="0"/>
          <w:marRight w:val="0"/>
          <w:marTop w:val="240"/>
          <w:marBottom w:val="240"/>
          <w:divBdr>
            <w:top w:val="none" w:sz="0" w:space="0" w:color="auto"/>
            <w:left w:val="none" w:sz="0" w:space="0" w:color="auto"/>
            <w:bottom w:val="none" w:sz="0" w:space="0" w:color="auto"/>
            <w:right w:val="none" w:sz="0" w:space="0" w:color="auto"/>
          </w:divBdr>
        </w:div>
        <w:div w:id="1083532624">
          <w:marLeft w:val="0"/>
          <w:marRight w:val="0"/>
          <w:marTop w:val="240"/>
          <w:marBottom w:val="240"/>
          <w:divBdr>
            <w:top w:val="none" w:sz="0" w:space="0" w:color="auto"/>
            <w:left w:val="none" w:sz="0" w:space="0" w:color="auto"/>
            <w:bottom w:val="none" w:sz="0" w:space="0" w:color="auto"/>
            <w:right w:val="none" w:sz="0" w:space="0" w:color="auto"/>
          </w:divBdr>
        </w:div>
        <w:div w:id="1384254044">
          <w:marLeft w:val="0"/>
          <w:marRight w:val="0"/>
          <w:marTop w:val="240"/>
          <w:marBottom w:val="240"/>
          <w:divBdr>
            <w:top w:val="none" w:sz="0" w:space="0" w:color="auto"/>
            <w:left w:val="none" w:sz="0" w:space="0" w:color="auto"/>
            <w:bottom w:val="none" w:sz="0" w:space="0" w:color="auto"/>
            <w:right w:val="none" w:sz="0" w:space="0" w:color="auto"/>
          </w:divBdr>
        </w:div>
        <w:div w:id="157354318">
          <w:marLeft w:val="0"/>
          <w:marRight w:val="0"/>
          <w:marTop w:val="240"/>
          <w:marBottom w:val="240"/>
          <w:divBdr>
            <w:top w:val="none" w:sz="0" w:space="0" w:color="auto"/>
            <w:left w:val="none" w:sz="0" w:space="0" w:color="auto"/>
            <w:bottom w:val="none" w:sz="0" w:space="0" w:color="auto"/>
            <w:right w:val="none" w:sz="0" w:space="0" w:color="auto"/>
          </w:divBdr>
        </w:div>
        <w:div w:id="1879851028">
          <w:marLeft w:val="0"/>
          <w:marRight w:val="0"/>
          <w:marTop w:val="240"/>
          <w:marBottom w:val="240"/>
          <w:divBdr>
            <w:top w:val="none" w:sz="0" w:space="0" w:color="auto"/>
            <w:left w:val="none" w:sz="0" w:space="0" w:color="auto"/>
            <w:bottom w:val="none" w:sz="0" w:space="0" w:color="auto"/>
            <w:right w:val="none" w:sz="0" w:space="0" w:color="auto"/>
          </w:divBdr>
        </w:div>
        <w:div w:id="1626809408">
          <w:marLeft w:val="0"/>
          <w:marRight w:val="0"/>
          <w:marTop w:val="240"/>
          <w:marBottom w:val="240"/>
          <w:divBdr>
            <w:top w:val="none" w:sz="0" w:space="0" w:color="auto"/>
            <w:left w:val="none" w:sz="0" w:space="0" w:color="auto"/>
            <w:bottom w:val="none" w:sz="0" w:space="0" w:color="auto"/>
            <w:right w:val="none" w:sz="0" w:space="0" w:color="auto"/>
          </w:divBdr>
        </w:div>
        <w:div w:id="1039822653">
          <w:marLeft w:val="0"/>
          <w:marRight w:val="0"/>
          <w:marTop w:val="240"/>
          <w:marBottom w:val="240"/>
          <w:divBdr>
            <w:top w:val="none" w:sz="0" w:space="0" w:color="auto"/>
            <w:left w:val="none" w:sz="0" w:space="0" w:color="auto"/>
            <w:bottom w:val="none" w:sz="0" w:space="0" w:color="auto"/>
            <w:right w:val="none" w:sz="0" w:space="0" w:color="auto"/>
          </w:divBdr>
        </w:div>
        <w:div w:id="693459422">
          <w:marLeft w:val="0"/>
          <w:marRight w:val="0"/>
          <w:marTop w:val="240"/>
          <w:marBottom w:val="240"/>
          <w:divBdr>
            <w:top w:val="none" w:sz="0" w:space="0" w:color="auto"/>
            <w:left w:val="none" w:sz="0" w:space="0" w:color="auto"/>
            <w:bottom w:val="none" w:sz="0" w:space="0" w:color="auto"/>
            <w:right w:val="none" w:sz="0" w:space="0" w:color="auto"/>
          </w:divBdr>
        </w:div>
        <w:div w:id="977415034">
          <w:marLeft w:val="0"/>
          <w:marRight w:val="0"/>
          <w:marTop w:val="240"/>
          <w:marBottom w:val="240"/>
          <w:divBdr>
            <w:top w:val="none" w:sz="0" w:space="0" w:color="auto"/>
            <w:left w:val="none" w:sz="0" w:space="0" w:color="auto"/>
            <w:bottom w:val="none" w:sz="0" w:space="0" w:color="auto"/>
            <w:right w:val="none" w:sz="0" w:space="0" w:color="auto"/>
          </w:divBdr>
        </w:div>
        <w:div w:id="1837527656">
          <w:marLeft w:val="0"/>
          <w:marRight w:val="0"/>
          <w:marTop w:val="240"/>
          <w:marBottom w:val="240"/>
          <w:divBdr>
            <w:top w:val="none" w:sz="0" w:space="0" w:color="auto"/>
            <w:left w:val="none" w:sz="0" w:space="0" w:color="auto"/>
            <w:bottom w:val="none" w:sz="0" w:space="0" w:color="auto"/>
            <w:right w:val="none" w:sz="0" w:space="0" w:color="auto"/>
          </w:divBdr>
        </w:div>
        <w:div w:id="610936371">
          <w:marLeft w:val="0"/>
          <w:marRight w:val="0"/>
          <w:marTop w:val="240"/>
          <w:marBottom w:val="240"/>
          <w:divBdr>
            <w:top w:val="none" w:sz="0" w:space="0" w:color="auto"/>
            <w:left w:val="none" w:sz="0" w:space="0" w:color="auto"/>
            <w:bottom w:val="none" w:sz="0" w:space="0" w:color="auto"/>
            <w:right w:val="none" w:sz="0" w:space="0" w:color="auto"/>
          </w:divBdr>
        </w:div>
        <w:div w:id="1936327453">
          <w:marLeft w:val="0"/>
          <w:marRight w:val="0"/>
          <w:marTop w:val="240"/>
          <w:marBottom w:val="240"/>
          <w:divBdr>
            <w:top w:val="none" w:sz="0" w:space="0" w:color="auto"/>
            <w:left w:val="none" w:sz="0" w:space="0" w:color="auto"/>
            <w:bottom w:val="none" w:sz="0" w:space="0" w:color="auto"/>
            <w:right w:val="none" w:sz="0" w:space="0" w:color="auto"/>
          </w:divBdr>
        </w:div>
        <w:div w:id="1771663635">
          <w:marLeft w:val="0"/>
          <w:marRight w:val="0"/>
          <w:marTop w:val="240"/>
          <w:marBottom w:val="240"/>
          <w:divBdr>
            <w:top w:val="none" w:sz="0" w:space="0" w:color="auto"/>
            <w:left w:val="none" w:sz="0" w:space="0" w:color="auto"/>
            <w:bottom w:val="none" w:sz="0" w:space="0" w:color="auto"/>
            <w:right w:val="none" w:sz="0" w:space="0" w:color="auto"/>
          </w:divBdr>
        </w:div>
        <w:div w:id="568808480">
          <w:marLeft w:val="0"/>
          <w:marRight w:val="0"/>
          <w:marTop w:val="240"/>
          <w:marBottom w:val="240"/>
          <w:divBdr>
            <w:top w:val="none" w:sz="0" w:space="0" w:color="auto"/>
            <w:left w:val="none" w:sz="0" w:space="0" w:color="auto"/>
            <w:bottom w:val="none" w:sz="0" w:space="0" w:color="auto"/>
            <w:right w:val="none" w:sz="0" w:space="0" w:color="auto"/>
          </w:divBdr>
        </w:div>
        <w:div w:id="1861236659">
          <w:marLeft w:val="0"/>
          <w:marRight w:val="0"/>
          <w:marTop w:val="240"/>
          <w:marBottom w:val="240"/>
          <w:divBdr>
            <w:top w:val="none" w:sz="0" w:space="0" w:color="auto"/>
            <w:left w:val="none" w:sz="0" w:space="0" w:color="auto"/>
            <w:bottom w:val="none" w:sz="0" w:space="0" w:color="auto"/>
            <w:right w:val="none" w:sz="0" w:space="0" w:color="auto"/>
          </w:divBdr>
        </w:div>
        <w:div w:id="14679647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landmarkproject.eu/landmark-glossary/" TargetMode="External"/><Relationship Id="rId26" Type="http://schemas.openxmlformats.org/officeDocument/2006/relationships/hyperlink" Target="https://doi.org/10.4236/AJPS.2018.99140" TargetMode="External"/><Relationship Id="rId39" Type="http://schemas.openxmlformats.org/officeDocument/2006/relationships/hyperlink" Target="https://doi.org/10.1016/j.anifeedsci.2011.04.036" TargetMode="External"/><Relationship Id="rId21" Type="http://schemas.openxmlformats.org/officeDocument/2006/relationships/hyperlink" Target="https://ohioline.osu.edu/factsheet/SAG-19" TargetMode="External"/><Relationship Id="rId34" Type="http://schemas.openxmlformats.org/officeDocument/2006/relationships/hyperlink" Target="https://www.uu.nl/en/research/transdisciplinary-field-guide/get-started/what-is-transdisciplinary-research"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oilhealthbenchmarks.eu/glossary/" TargetMode="External"/><Relationship Id="rId29" Type="http://schemas.openxmlformats.org/officeDocument/2006/relationships/hyperlink" Target="https://www.sbcguidance.org/understand/social-and-behaviour-change-communi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andis.org.uk/downloads/downloads/Glossary.pdf" TargetMode="External"/><Relationship Id="rId32" Type="http://schemas.openxmlformats.org/officeDocument/2006/relationships/hyperlink" Target="https://www.oed.com/search/dictionary" TargetMode="External"/><Relationship Id="rId37" Type="http://schemas.openxmlformats.org/officeDocument/2006/relationships/hyperlink" Target="https://doi.org/10.4060/cb4476en" TargetMode="External"/><Relationship Id="rId40" Type="http://schemas.openxmlformats.org/officeDocument/2006/relationships/hyperlink" Target="https://www.millenniumassessment.org"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bsoil.eu/glossary/" TargetMode="External"/><Relationship Id="rId23" Type="http://schemas.openxmlformats.org/officeDocument/2006/relationships/hyperlink" Target="https://doi.org/10.1080/10643389.2023.2228651" TargetMode="External"/><Relationship Id="rId28" Type="http://schemas.openxmlformats.org/officeDocument/2006/relationships/hyperlink" Target="https://doi.org/10.1108/jefas-12-2021-0267" TargetMode="External"/><Relationship Id="rId36" Type="http://schemas.openxmlformats.org/officeDocument/2006/relationships/hyperlink" Target="http://dx.doi.org/10.1201/b12500" TargetMode="External"/><Relationship Id="rId10" Type="http://schemas.openxmlformats.org/officeDocument/2006/relationships/endnotes" Target="endnotes.xml"/><Relationship Id="rId19" Type="http://schemas.openxmlformats.org/officeDocument/2006/relationships/hyperlink" Target="https://doi.org/10.1007/978-3-031-18923-4_6" TargetMode="External"/><Relationship Id="rId31" Type="http://schemas.openxmlformats.org/officeDocument/2006/relationships/hyperlink" Target="https://doi.org/10.26522/ssj.v15i2.2657"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springer.com/chapter/10.1007/978-3-031-18923-4_6/figures/4" TargetMode="External"/><Relationship Id="rId22" Type="http://schemas.openxmlformats.org/officeDocument/2006/relationships/hyperlink" Target="https://www.eurovia.org/wp-content/uploads/2016/11/defining-land-grabs.pdf" TargetMode="External"/><Relationship Id="rId27" Type="http://schemas.openxmlformats.org/officeDocument/2006/relationships/hyperlink" Target="https://doi.org/10.1111/jvs.12727" TargetMode="External"/><Relationship Id="rId30" Type="http://schemas.openxmlformats.org/officeDocument/2006/relationships/hyperlink" Target="https://techresearchonline.com/blog/10-new-ways-to-communicate-digitally-age-of-digital-technology/" TargetMode="External"/><Relationship Id="rId35" Type="http://schemas.openxmlformats.org/officeDocument/2006/relationships/hyperlink" Target="https://web.mit.edu/jrankin/www/interdisciplinary/interdisc_Newell.pdf"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oi.org/10.3390/agronomy12112595" TargetMode="External"/><Relationship Id="rId17" Type="http://schemas.openxmlformats.org/officeDocument/2006/relationships/hyperlink" Target="https://www.soilcare-project.eu/resources/glossary" TargetMode="External"/><Relationship Id="rId25" Type="http://schemas.openxmlformats.org/officeDocument/2006/relationships/hyperlink" Target="https://doi.org/10.3390/agriculture10090394" TargetMode="External"/><Relationship Id="rId33" Type="http://schemas.openxmlformats.org/officeDocument/2006/relationships/hyperlink" Target="https://www.who.int/teams/noncommunicable-diseases/sensory-functions-disability-and-rehabilitation/world-report-on-disability" TargetMode="External"/><Relationship Id="rId38" Type="http://schemas.openxmlformats.org/officeDocument/2006/relationships/hyperlink" Target="https://doi.org/10.2489/jswc.2020.0620A" TargetMode="External"/><Relationship Id="rId20" Type="http://schemas.openxmlformats.org/officeDocument/2006/relationships/hyperlink" Target="https://link.springer.com/chapter/10.1007/978-3-031-18923-4_6" TargetMode="External"/><Relationship Id="rId41" Type="http://schemas.openxmlformats.org/officeDocument/2006/relationships/hyperlink" Target="https://research-and-innovation.ec.europa.eu/knowledge-publications-tools-and-data/publications/all-publications/implementation-plans-eu-missions_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C78329-37B3-4325-A18E-19616F79389A}">
  <ds:schemaRefs>
    <ds:schemaRef ds:uri="http://schemas.openxmlformats.org/officeDocument/2006/bibliography"/>
  </ds:schemaRefs>
</ds:datastoreItem>
</file>

<file path=customXml/itemProps2.xml><?xml version="1.0" encoding="utf-8"?>
<ds:datastoreItem xmlns:ds="http://schemas.openxmlformats.org/officeDocument/2006/customXml" ds:itemID="{1BF969EB-EA69-467B-AFCE-2832D0B14543}">
  <ds:schemaRefs>
    <ds:schemaRef ds:uri="http://schemas.microsoft.com/sharepoint/v3/contenttype/forms"/>
  </ds:schemaRefs>
</ds:datastoreItem>
</file>

<file path=customXml/itemProps3.xml><?xml version="1.0" encoding="utf-8"?>
<ds:datastoreItem xmlns:ds="http://schemas.openxmlformats.org/officeDocument/2006/customXml" ds:itemID="{F85134FA-217B-4279-A767-D0B9700FEABB}"/>
</file>

<file path=customXml/itemProps4.xml><?xml version="1.0" encoding="utf-8"?>
<ds:datastoreItem xmlns:ds="http://schemas.openxmlformats.org/officeDocument/2006/customXml" ds:itemID="{5E5CC1C9-4CA6-46E3-989B-F25CE603C456}">
  <ds:schemaRefs>
    <ds:schemaRef ds:uri="http://schemas.microsoft.com/office/2006/metadata/properties"/>
    <ds:schemaRef ds:uri="http://schemas.microsoft.com/office/infopath/2007/PartnerControls"/>
    <ds:schemaRef ds:uri="49b9c972-6c78-424e-8500-a22f256d764b"/>
    <ds:schemaRef ds:uri="664392dc-dad9-45cc-9b02-6ff2a8be1f7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9181</Words>
  <Characters>52333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Santolalla</dc:creator>
  <cp:lastModifiedBy>Ioanna Mantopoulou</cp:lastModifiedBy>
  <cp:revision>4</cp:revision>
  <dcterms:created xsi:type="dcterms:W3CDTF">2025-03-24T12:06:00Z</dcterms:created>
  <dcterms:modified xsi:type="dcterms:W3CDTF">2025-04-04T10:20:00Z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y fmtid="{D5CDD505-2E9C-101B-9397-08002B2CF9AE}" pid="3" name="MediaServiceImageTags">
    <vt:lpwstr/>
  </property>
</Properties>
</file>