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CC2F5" w14:textId="77777777" w:rsidR="00AD6E49" w:rsidRPr="0076580C" w:rsidRDefault="00AD6E49" w:rsidP="00AD6E49">
      <w:pPr>
        <w:spacing w:after="0" w:line="520" w:lineRule="exact"/>
        <w:jc w:val="center"/>
        <w:rPr>
          <w:rFonts w:ascii="Times New Roman" w:eastAsiaTheme="minorEastAsia" w:hAnsi="Times New Roman" w:cs="Times New Roman"/>
          <w:b/>
          <w:bCs/>
          <w:color w:val="00FFCC"/>
          <w:kern w:val="24"/>
          <w:position w:val="1"/>
          <w:sz w:val="56"/>
          <w:szCs w:val="56"/>
          <w:lang w:val="en-GB" w:eastAsia="pl-PL"/>
        </w:rPr>
      </w:pPr>
    </w:p>
    <w:p w14:paraId="7AA019FA" w14:textId="77777777" w:rsidR="00040F5F" w:rsidRPr="0076580C" w:rsidRDefault="00040F5F"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p>
    <w:p w14:paraId="6B117817" w14:textId="77777777" w:rsidR="00AD6E49" w:rsidRPr="0076580C" w:rsidRDefault="00AD6E49"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r w:rsidRPr="0076580C">
        <w:rPr>
          <w:rFonts w:ascii="Times New Roman" w:eastAsiaTheme="minorEastAsia" w:hAnsi="Times New Roman" w:cs="Times New Roman"/>
          <w:b/>
          <w:bCs/>
          <w:color w:val="8DD873" w:themeColor="accent6" w:themeTint="99"/>
          <w:kern w:val="24"/>
          <w:position w:val="1"/>
          <w:sz w:val="56"/>
          <w:szCs w:val="56"/>
          <w:lang w:val="el" w:eastAsia="pl-PL"/>
        </w:rPr>
        <w:t>Γλωσσάρι όρων</w:t>
      </w:r>
    </w:p>
    <w:p w14:paraId="1838F654" w14:textId="77777777" w:rsidR="00040F5F" w:rsidRPr="0076580C" w:rsidRDefault="00040F5F" w:rsidP="00040F5F">
      <w:pPr>
        <w:spacing w:after="0" w:line="520" w:lineRule="exact"/>
        <w:jc w:val="center"/>
        <w:rPr>
          <w:rFonts w:ascii="Times New Roman" w:eastAsia="Times New Roman" w:hAnsi="Times New Roman" w:cs="Times New Roman"/>
          <w:color w:val="8DD873" w:themeColor="accent6" w:themeTint="99"/>
          <w:sz w:val="24"/>
          <w:szCs w:val="24"/>
          <w:lang w:val="en-GB" w:eastAsia="pl-PL"/>
        </w:rPr>
      </w:pPr>
    </w:p>
    <w:tbl>
      <w:tblPr>
        <w:tblStyle w:val="TableGrid"/>
        <w:tblW w:w="976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20"/>
        <w:gridCol w:w="1011"/>
        <w:gridCol w:w="5615"/>
        <w:gridCol w:w="616"/>
      </w:tblGrid>
      <w:tr w:rsidR="002A67F8" w:rsidRPr="0076580C" w14:paraId="54E40605" w14:textId="77777777" w:rsidTr="2C6C7817">
        <w:tc>
          <w:tcPr>
            <w:tcW w:w="2062" w:type="dxa"/>
          </w:tcPr>
          <w:p w14:paraId="5C4EC49D" w14:textId="77777777" w:rsidR="002A67F8" w:rsidRPr="0076580C" w:rsidRDefault="002A67F8" w:rsidP="002A67F8">
            <w:pPr>
              <w:jc w:val="center"/>
              <w:rPr>
                <w:rFonts w:ascii="Times New Roman" w:hAnsi="Times New Roman" w:cs="Times New Roman"/>
                <w:b/>
                <w:color w:val="3A7C22" w:themeColor="accent6" w:themeShade="BF"/>
                <w:lang w:val="en-GB"/>
              </w:rPr>
            </w:pPr>
          </w:p>
        </w:tc>
        <w:tc>
          <w:tcPr>
            <w:tcW w:w="1469" w:type="dxa"/>
          </w:tcPr>
          <w:p w14:paraId="54D99B8B" w14:textId="77777777" w:rsidR="002A67F8" w:rsidRPr="0076580C" w:rsidRDefault="002A67F8" w:rsidP="002A67F8">
            <w:pPr>
              <w:jc w:val="center"/>
              <w:rPr>
                <w:rFonts w:ascii="Times New Roman" w:hAnsi="Times New Roman" w:cs="Times New Roman"/>
                <w:lang w:val="en-GB"/>
              </w:rPr>
            </w:pPr>
          </w:p>
        </w:tc>
        <w:tc>
          <w:tcPr>
            <w:tcW w:w="5615" w:type="dxa"/>
          </w:tcPr>
          <w:p w14:paraId="3B30FB8A" w14:textId="77777777" w:rsidR="002A67F8" w:rsidRPr="0076580C" w:rsidRDefault="002A67F8" w:rsidP="002A67F8">
            <w:pPr>
              <w:jc w:val="center"/>
              <w:rPr>
                <w:rFonts w:ascii="Times New Roman" w:hAnsi="Times New Roman" w:cs="Times New Roman"/>
                <w:lang w:val="en-GB"/>
              </w:rPr>
            </w:pPr>
          </w:p>
        </w:tc>
        <w:tc>
          <w:tcPr>
            <w:tcW w:w="616" w:type="dxa"/>
          </w:tcPr>
          <w:p w14:paraId="612EA104" w14:textId="77777777" w:rsidR="002A67F8" w:rsidRPr="0076580C" w:rsidRDefault="002A67F8" w:rsidP="002A67F8">
            <w:pPr>
              <w:jc w:val="center"/>
              <w:rPr>
                <w:rFonts w:ascii="Times New Roman" w:hAnsi="Times New Roman" w:cs="Times New Roman"/>
                <w:lang w:val="en-GB"/>
              </w:rPr>
            </w:pPr>
          </w:p>
        </w:tc>
      </w:tr>
      <w:tr w:rsidR="00F94540" w:rsidRPr="0076580C" w14:paraId="1497290D" w14:textId="77777777" w:rsidTr="2C6C7817">
        <w:tc>
          <w:tcPr>
            <w:tcW w:w="2062" w:type="dxa"/>
          </w:tcPr>
          <w:p w14:paraId="17C18905"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Αγροδασοπονία</w:t>
            </w:r>
          </w:p>
        </w:tc>
        <w:tc>
          <w:tcPr>
            <w:tcW w:w="1469" w:type="dxa"/>
          </w:tcPr>
          <w:p w14:paraId="76B242A1" w14:textId="77777777" w:rsidR="00F94540" w:rsidRPr="0076580C" w:rsidRDefault="00F94540" w:rsidP="002A67F8">
            <w:pPr>
              <w:jc w:val="both"/>
              <w:rPr>
                <w:rFonts w:ascii="Times New Roman" w:hAnsi="Times New Roman" w:cs="Times New Roman"/>
                <w:lang w:val="en-GB"/>
              </w:rPr>
            </w:pPr>
          </w:p>
        </w:tc>
        <w:tc>
          <w:tcPr>
            <w:tcW w:w="5615" w:type="dxa"/>
          </w:tcPr>
          <w:p w14:paraId="2FB31513"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Ένας τύπος χρήσης της γης που συνδυάζει διαφορετικά είδη παραγωγής στην ίδια έκταση, όπως οι ετήσιες γεωργικές δραστηριότητες (π.χ. καλλιέργειες και βόσκηση) και η παρατεταμένη μακροπρόθεσμη παραγωγή των δέντρων (π.χ. ξυλεία και οικοσυστημικές υπηρεσίες). Αυτό επιτυγχάνεται είτε μέσω της φύτευσης δέντρων σε γεωργική γη είτε μέσω της καλλιέργειας σε δασική γη (π.χ. μετά από αραίωση). Οι εκτάσεις που συνδυάζουν αρόσιμες ενδιάμεσες καλλιέργειες με δασικά δέντρα αποκαλούνται «δασογεωργικές», ενώ οι δασικές εκτάσεις που προσφέρονται για βόσκηση κάτω από τον θόλο των δέντρων είναι γνωστές ως «δασολιβαδικές».</w:t>
            </w:r>
          </w:p>
        </w:tc>
        <w:tc>
          <w:tcPr>
            <w:tcW w:w="616" w:type="dxa"/>
          </w:tcPr>
          <w:p w14:paraId="043C33AD"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3CC933A4" w14:textId="77777777" w:rsidTr="2C6C7817">
        <w:tc>
          <w:tcPr>
            <w:tcW w:w="2062" w:type="dxa"/>
          </w:tcPr>
          <w:p w14:paraId="060E89DB"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Αγροϋδροχωρητικότητα</w:t>
            </w:r>
          </w:p>
        </w:tc>
        <w:tc>
          <w:tcPr>
            <w:tcW w:w="1469" w:type="dxa"/>
          </w:tcPr>
          <w:p w14:paraId="76CB3786" w14:textId="77777777" w:rsidR="00F94540" w:rsidRPr="0076580C" w:rsidRDefault="00F94540" w:rsidP="00525540">
            <w:pPr>
              <w:jc w:val="both"/>
              <w:rPr>
                <w:rFonts w:ascii="Times New Roman" w:hAnsi="Times New Roman" w:cs="Times New Roman"/>
                <w:lang w:val="en-GB"/>
              </w:rPr>
            </w:pPr>
          </w:p>
        </w:tc>
        <w:tc>
          <w:tcPr>
            <w:tcW w:w="5615" w:type="dxa"/>
          </w:tcPr>
          <w:p w14:paraId="6D1E0CE2"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 xml:space="preserve">Οι συνθήκες υγρασίας κατά τις οποίες το έδαφος συγκρατεί τη μέγιστη δυνατή ποσότητα νερού ενάντια στη βαρύτητα, και στις οποίες η περαιτέρω διαβροχή θα προκαλέσει αποστράγγιση. Μετά τον κορεσμό, τα εδάφη τείνουν να ανακτήσουν την αγροϋδροχωρητικότητά τους, όταν ο ρυθμός της καθοδικής πορείας του νερού έχει μειωθεί σημαντικά, συνήθως 1-3 ημέρες μετά τη βροχή ή την άρδευση και αφού το ελεύθερο νερό, ή αλλιώς νερό βαρύτητας, έχει αποστραγγιστεί. Συνήθως εκφράζεται ως κλάσμα της μάζας ή του όγκου του εδαφικού ύδατος. </w:t>
            </w:r>
          </w:p>
        </w:tc>
        <w:tc>
          <w:tcPr>
            <w:tcW w:w="616" w:type="dxa"/>
          </w:tcPr>
          <w:p w14:paraId="34E12806"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40563715" w14:textId="77777777" w:rsidTr="2C6C7817">
        <w:tc>
          <w:tcPr>
            <w:tcW w:w="2062" w:type="dxa"/>
          </w:tcPr>
          <w:p w14:paraId="0DCEDCAB"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Αδρανή εδάφους</w:t>
            </w:r>
          </w:p>
        </w:tc>
        <w:tc>
          <w:tcPr>
            <w:tcW w:w="1469" w:type="dxa"/>
          </w:tcPr>
          <w:p w14:paraId="53F4478A" w14:textId="77777777" w:rsidR="00F94540" w:rsidRPr="0076580C" w:rsidRDefault="00F94540" w:rsidP="00525540">
            <w:pPr>
              <w:jc w:val="both"/>
              <w:rPr>
                <w:rFonts w:ascii="Times New Roman" w:hAnsi="Times New Roman" w:cs="Times New Roman"/>
                <w:lang w:val="en-GB"/>
              </w:rPr>
            </w:pPr>
          </w:p>
        </w:tc>
        <w:tc>
          <w:tcPr>
            <w:tcW w:w="5615" w:type="dxa"/>
          </w:tcPr>
          <w:p w14:paraId="5D69548B"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Τα αδρανή εδάφους αποτελούνται από δύο ή περισσότερα σωματίδια εδάφους που συνδέονται μεταξύ τους μέσω διαφόρων δυνάμεων, και συναντώνται σε διάφορα σχήματα και μεγέθη.</w:t>
            </w:r>
          </w:p>
        </w:tc>
        <w:tc>
          <w:tcPr>
            <w:tcW w:w="616" w:type="dxa"/>
          </w:tcPr>
          <w:p w14:paraId="2CDD496A"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w:t>
            </w:r>
          </w:p>
        </w:tc>
      </w:tr>
      <w:tr w:rsidR="00F94540" w:rsidRPr="0076580C" w14:paraId="09F81939" w14:textId="77777777" w:rsidTr="2C6C7817">
        <w:tc>
          <w:tcPr>
            <w:tcW w:w="2062" w:type="dxa"/>
          </w:tcPr>
          <w:p w14:paraId="468BF6B9" w14:textId="77777777" w:rsidR="00F94540" w:rsidRPr="0076580C" w:rsidRDefault="00F94540" w:rsidP="00A655ED">
            <w:pPr>
              <w:rPr>
                <w:rFonts w:ascii="Times New Roman" w:hAnsi="Times New Roman" w:cs="Times New Roman"/>
                <w:b/>
                <w:color w:val="BF4E14" w:themeColor="accent2" w:themeShade="BF"/>
                <w:lang w:val="en-GB"/>
              </w:rPr>
            </w:pPr>
            <w:r w:rsidRPr="0076580C">
              <w:rPr>
                <w:rFonts w:ascii="Times New Roman" w:hAnsi="Times New Roman" w:cs="Times New Roman"/>
                <w:b/>
                <w:color w:val="3A7C22" w:themeColor="accent6" w:themeShade="BF"/>
                <w:lang w:val="el"/>
              </w:rPr>
              <w:t>Αεικαλλιέργεια ή Περμακουλτούρα</w:t>
            </w:r>
          </w:p>
        </w:tc>
        <w:tc>
          <w:tcPr>
            <w:tcW w:w="1469" w:type="dxa"/>
          </w:tcPr>
          <w:p w14:paraId="0284E5BC" w14:textId="77777777" w:rsidR="00F94540" w:rsidRPr="0076580C" w:rsidRDefault="00F94540" w:rsidP="00A655ED">
            <w:pPr>
              <w:jc w:val="both"/>
              <w:rPr>
                <w:rFonts w:ascii="Times New Roman" w:hAnsi="Times New Roman" w:cs="Times New Roman"/>
                <w:lang w:val="en-GB"/>
              </w:rPr>
            </w:pPr>
          </w:p>
        </w:tc>
        <w:tc>
          <w:tcPr>
            <w:tcW w:w="5615" w:type="dxa"/>
          </w:tcPr>
          <w:p w14:paraId="3F6E1E8F"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 xml:space="preserve">Η αεικαλλιέργεια δημιουργεί οικοσυστήματα αποδοτικά για τη γεωργία τα οποία μιμούνται την ποικιλομορφία, τη σταθερότητα και την ανθεκτικότητα των φυσικών οικοσυστημάτων. Αποσκοπεί στην ανάπτυξη ενός τοπίου που θα είναι αυτοσυντηρούμενο και παραγωγικό για πολλές γενιές. Πρόκειται για μία μέθοδο αναγεννητικής γεωργίας που περιλαμβάνει μία σειρά από γεωργικές πρακτικές, ένα σύστημα σχεδιασμού που βοηθά την επιλογή, τον συνδυασμό και τη διευθέτηση αυτών των πρακτικών, καθώς και το ίδιο το σύστημα αγροοικολογικής γεωργίας που προκύπτει από αυτές. Μπορεί να χρησιμοποιηθεί από καλλιέργειες σε μπαλκόνια σπιτιών έως και σε εκτάσεις που καλύπτουν πολλά στρέμματα. </w:t>
            </w:r>
          </w:p>
        </w:tc>
        <w:tc>
          <w:tcPr>
            <w:tcW w:w="616" w:type="dxa"/>
          </w:tcPr>
          <w:p w14:paraId="7E9735CE"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14</w:t>
            </w:r>
          </w:p>
        </w:tc>
      </w:tr>
      <w:tr w:rsidR="00F94540" w:rsidRPr="0076580C" w14:paraId="2D9B6C3A" w14:textId="77777777" w:rsidTr="2C6C7817">
        <w:tc>
          <w:tcPr>
            <w:tcW w:w="2062" w:type="dxa"/>
          </w:tcPr>
          <w:p w14:paraId="0DEC5D14"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Ακινητοποίηση</w:t>
            </w:r>
          </w:p>
        </w:tc>
        <w:tc>
          <w:tcPr>
            <w:tcW w:w="1469" w:type="dxa"/>
          </w:tcPr>
          <w:p w14:paraId="3FBB72AD" w14:textId="77777777" w:rsidR="00F94540" w:rsidRPr="0076580C" w:rsidRDefault="00F94540" w:rsidP="00525540">
            <w:pPr>
              <w:jc w:val="both"/>
              <w:rPr>
                <w:rFonts w:ascii="Times New Roman" w:hAnsi="Times New Roman" w:cs="Times New Roman"/>
                <w:lang w:val="en-GB"/>
              </w:rPr>
            </w:pPr>
          </w:p>
        </w:tc>
        <w:tc>
          <w:tcPr>
            <w:tcW w:w="5615" w:type="dxa"/>
          </w:tcPr>
          <w:p w14:paraId="152B2959"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Μετατροπή των υδατοδιαλυτών στοιχείων σε οργανικές ενώσεις μέσω των ζώντων οργανισμών του εδάφους.</w:t>
            </w:r>
          </w:p>
          <w:p w14:paraId="33DDEE49"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 xml:space="preserve">Διεργασία κατά την οποία τα θρεπτικά συστατικά (άζωτο, φώσφορος και άλλα βασικά στοιχεία) μεταβαίνουν προσωρινά από τη διαθέσιμη, υδατοδιαλυτή, ανόργανη μορφή τους σε μία μη διαθέσιμη, οργανική μορφή μέσω μικροοργανισμών του εδάφους. Αυτό συμβαίνει όταν </w:t>
            </w:r>
            <w:r w:rsidRPr="0076580C">
              <w:rPr>
                <w:rFonts w:ascii="Times New Roman" w:hAnsi="Times New Roman" w:cs="Times New Roman"/>
                <w:lang w:val="el"/>
              </w:rPr>
              <w:lastRenderedPageBreak/>
              <w:t>μικροοργανισμοί ενσωματώνουν αυτά τα θρεπτικά συστατικά στα κύτταρα και τους ιστούς τους κατά την αποσύνθεση της οργανικής ύλης, καθιστώντας τα προσωρινά μη διαθέσιμα για τα φυτά.</w:t>
            </w:r>
          </w:p>
          <w:p w14:paraId="640B2DC6"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Σε μολυσμένα εδάφη, η ακινητοποίηση μπορεί να σημαίνει ότι ορισμένα εν δυνάμει τοξικά στοιχεία καθίστανται αδιάλυτα, κάτι που λειτουργεί θετικά, αφού έτσι μειώνεται ο κίνδυνος εξάπλωσης ρυπογόνων ουσιών που ενδέχεται να απορροφηθούν από τα φυτά.</w:t>
            </w:r>
          </w:p>
        </w:tc>
        <w:tc>
          <w:tcPr>
            <w:tcW w:w="616" w:type="dxa"/>
          </w:tcPr>
          <w:p w14:paraId="1BE7FB2B"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 45</w:t>
            </w:r>
          </w:p>
        </w:tc>
      </w:tr>
      <w:tr w:rsidR="00F94540" w:rsidRPr="0076580C" w14:paraId="3A895406" w14:textId="77777777" w:rsidTr="2C6C7817">
        <w:tc>
          <w:tcPr>
            <w:tcW w:w="2062" w:type="dxa"/>
          </w:tcPr>
          <w:p w14:paraId="3E93AB1D"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Αλατοποίηση</w:t>
            </w:r>
          </w:p>
        </w:tc>
        <w:tc>
          <w:tcPr>
            <w:tcW w:w="1469" w:type="dxa"/>
          </w:tcPr>
          <w:p w14:paraId="42183A4C" w14:textId="77777777" w:rsidR="00F94540" w:rsidRPr="0076580C" w:rsidRDefault="00F94540" w:rsidP="00525540">
            <w:pPr>
              <w:jc w:val="both"/>
              <w:rPr>
                <w:rFonts w:ascii="Times New Roman" w:hAnsi="Times New Roman" w:cs="Times New Roman"/>
                <w:lang w:val="en-GB"/>
              </w:rPr>
            </w:pPr>
          </w:p>
        </w:tc>
        <w:tc>
          <w:tcPr>
            <w:tcW w:w="5615" w:type="dxa"/>
          </w:tcPr>
          <w:p w14:paraId="36814961" w14:textId="77777777" w:rsidR="00F94540" w:rsidRPr="00F94540" w:rsidRDefault="00F94540" w:rsidP="00525540">
            <w:pPr>
              <w:jc w:val="both"/>
              <w:rPr>
                <w:rFonts w:ascii="Times New Roman" w:hAnsi="Times New Roman" w:cs="Times New Roman"/>
                <w:lang w:val="el-GR"/>
              </w:rPr>
            </w:pPr>
            <w:bookmarkStart w:id="0" w:name="_Hlk187700189"/>
            <w:r w:rsidRPr="0076580C">
              <w:rPr>
                <w:rFonts w:ascii="Times New Roman" w:hAnsi="Times New Roman" w:cs="Times New Roman"/>
                <w:lang w:val="el"/>
              </w:rPr>
              <w:t>Συσσώρευση διαλυτών αλάτων (πιο διαλυτών από τον γύψο) στα ανώτερα στρώματα του εδάφους (αλατούχο έδαφος = έδαφος που περιέχει αρκετά διαλυτά άλατα ώστε να επηρεάζονται δυσμενώς οι περισσότερες καλλιέργειες, συνήθως 4000 μS m</w:t>
            </w:r>
            <w:r w:rsidRPr="0076580C">
              <w:rPr>
                <w:rFonts w:ascii="Times New Roman" w:hAnsi="Times New Roman" w:cs="Times New Roman"/>
                <w:vertAlign w:val="superscript"/>
                <w:lang w:val="el"/>
              </w:rPr>
              <w:t>-1</w:t>
            </w:r>
            <w:r w:rsidRPr="0076580C">
              <w:rPr>
                <w:rFonts w:ascii="Times New Roman" w:hAnsi="Times New Roman" w:cs="Times New Roman"/>
                <w:lang w:val="el"/>
              </w:rPr>
              <w:t>).</w:t>
            </w:r>
            <w:bookmarkEnd w:id="0"/>
          </w:p>
        </w:tc>
        <w:tc>
          <w:tcPr>
            <w:tcW w:w="616" w:type="dxa"/>
          </w:tcPr>
          <w:p w14:paraId="18E8EAED"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1E9D57F1" w14:textId="77777777" w:rsidTr="2C6C7817">
        <w:tc>
          <w:tcPr>
            <w:tcW w:w="2062" w:type="dxa"/>
          </w:tcPr>
          <w:p w14:paraId="4169406C" w14:textId="77777777" w:rsidR="00F94540" w:rsidRPr="0076580C" w:rsidRDefault="00F94540" w:rsidP="00A655ED">
            <w:pPr>
              <w:rPr>
                <w:rFonts w:ascii="Times New Roman" w:hAnsi="Times New Roman" w:cs="Times New Roman"/>
                <w:b/>
                <w:color w:val="BF4E14" w:themeColor="accent2" w:themeShade="BF"/>
                <w:lang w:val="en-GB"/>
              </w:rPr>
            </w:pPr>
            <w:r w:rsidRPr="0076580C">
              <w:rPr>
                <w:rFonts w:ascii="Times New Roman" w:hAnsi="Times New Roman" w:cs="Times New Roman"/>
                <w:b/>
                <w:color w:val="3A7C22" w:themeColor="accent6" w:themeShade="BF"/>
                <w:lang w:val="el"/>
              </w:rPr>
              <w:t>Αναγεννητική γεωργία</w:t>
            </w:r>
          </w:p>
        </w:tc>
        <w:tc>
          <w:tcPr>
            <w:tcW w:w="1469" w:type="dxa"/>
          </w:tcPr>
          <w:p w14:paraId="7DD94BB1" w14:textId="77777777" w:rsidR="00F94540" w:rsidRPr="0076580C" w:rsidRDefault="00F94540" w:rsidP="00A655ED">
            <w:pPr>
              <w:jc w:val="both"/>
              <w:rPr>
                <w:rFonts w:ascii="Times New Roman" w:hAnsi="Times New Roman" w:cs="Times New Roman"/>
                <w:lang w:val="en-GB"/>
              </w:rPr>
            </w:pPr>
          </w:p>
        </w:tc>
        <w:tc>
          <w:tcPr>
            <w:tcW w:w="5615" w:type="dxa"/>
          </w:tcPr>
          <w:p w14:paraId="1439CB0D"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Η επιστημονική προσέγγιση στη γεωργία και τη διαχείριση γης που εστιάζει στην αποκατάσταση και τη βελτίωση της υγείας του εδάφους, τη βιοποικιλότητα και τις λειτουργίες των οικοσυστημάτων, και ταυτόχρονα στη βελτίωση της γεωργικής παραγωγικότητας και ανθεκτικότητας. Χρησιμοποιεί πρακτικές που αναγεννούν ενεργά τα υποβαθμισμένα εδάφη και οικοσυστήματα, δημιουργώντας έναν ενάρετο κύκλο που ωφελεί τόσο το περιβάλλον όσο και τα γεωργικά συστήματα. Δίνει έμφαση στην αλληλένδετη σχέση ανάμεσα στο έδαφος, τα φυτά, τα ζωά και τον άνθρωπο, και αποσκοπεί στη δημιουργία ενός κύκλου αναγέννησης που θα βελτιώνει τις οικοσυστημικές υπηρεσίες και θα στηρίζει τη μακροπρόθεσμη γεωργική βιωσιμότητα.</w:t>
            </w:r>
          </w:p>
        </w:tc>
        <w:tc>
          <w:tcPr>
            <w:tcW w:w="616" w:type="dxa"/>
          </w:tcPr>
          <w:p w14:paraId="082F6E0B"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1, 41</w:t>
            </w:r>
          </w:p>
        </w:tc>
      </w:tr>
      <w:tr w:rsidR="00F94540" w:rsidRPr="0076580C" w14:paraId="6DBCEC73" w14:textId="77777777" w:rsidTr="2C6C7817">
        <w:tc>
          <w:tcPr>
            <w:tcW w:w="2062" w:type="dxa"/>
          </w:tcPr>
          <w:p w14:paraId="15437805"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Αναγωγή</w:t>
            </w:r>
          </w:p>
        </w:tc>
        <w:tc>
          <w:tcPr>
            <w:tcW w:w="1469" w:type="dxa"/>
          </w:tcPr>
          <w:p w14:paraId="58600586" w14:textId="77777777" w:rsidR="00F94540" w:rsidRPr="0076580C" w:rsidRDefault="00F94540" w:rsidP="00525540">
            <w:pPr>
              <w:jc w:val="both"/>
              <w:rPr>
                <w:rFonts w:ascii="Times New Roman" w:hAnsi="Times New Roman" w:cs="Times New Roman"/>
                <w:lang w:val="en-GB"/>
              </w:rPr>
            </w:pPr>
          </w:p>
        </w:tc>
        <w:tc>
          <w:tcPr>
            <w:tcW w:w="5615" w:type="dxa"/>
          </w:tcPr>
          <w:p w14:paraId="76C0B7DF" w14:textId="77777777" w:rsidR="00F94540" w:rsidRPr="0076580C" w:rsidRDefault="00F94540" w:rsidP="00525540">
            <w:pPr>
              <w:jc w:val="both"/>
              <w:rPr>
                <w:rFonts w:ascii="Times New Roman" w:hAnsi="Times New Roman" w:cs="Times New Roman"/>
                <w:lang w:val="en-GB"/>
              </w:rPr>
            </w:pPr>
            <w:r w:rsidRPr="0076580C">
              <w:rPr>
                <w:rFonts w:ascii="Times New Roman" w:hAnsi="Times New Roman" w:cs="Times New Roman"/>
                <w:lang w:val="el"/>
              </w:rPr>
              <w:t>Η προσθήκη υδρογόνου, αφαίρεση οξυγόνου, ή προσθήκη ηλεκτρονίων σε ένα στοιχείο ή μία ένωση. Σε συνθήκες αναερόβιες ή οξειδοαναγωγής (όπου υπάρχει απουσία διαλυμένου οξυγόνου), όπως στα υδρομορφοποιημένα εδάφη («gley»), οι θειούχες ενώσεις ανάγονται σε υδρόθειο (H</w:t>
            </w:r>
            <w:r w:rsidRPr="0076580C">
              <w:rPr>
                <w:rFonts w:ascii="Times New Roman" w:hAnsi="Times New Roman" w:cs="Times New Roman"/>
                <w:vertAlign w:val="subscript"/>
                <w:lang w:val="el"/>
              </w:rPr>
              <w:t>2</w:t>
            </w:r>
            <w:r w:rsidRPr="0076580C">
              <w:rPr>
                <w:rFonts w:ascii="Times New Roman" w:hAnsi="Times New Roman" w:cs="Times New Roman"/>
                <w:lang w:val="el"/>
              </w:rPr>
              <w:t>S) που αναδίδει χαρακτηριστική οσμή, και σε άλλες ενώσεις. Η αναγωγή είναι το αντίθετο της οξείδωσης.</w:t>
            </w:r>
          </w:p>
        </w:tc>
        <w:tc>
          <w:tcPr>
            <w:tcW w:w="616" w:type="dxa"/>
          </w:tcPr>
          <w:p w14:paraId="5A5AF02E"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40B3A8A4" w14:textId="77777777" w:rsidTr="2C6C7817">
        <w:tc>
          <w:tcPr>
            <w:tcW w:w="2062" w:type="dxa"/>
          </w:tcPr>
          <w:p w14:paraId="03C7EC85"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Ανθεκτικότητα</w:t>
            </w:r>
          </w:p>
        </w:tc>
        <w:tc>
          <w:tcPr>
            <w:tcW w:w="1469" w:type="dxa"/>
          </w:tcPr>
          <w:p w14:paraId="27C95DCB" w14:textId="77777777" w:rsidR="00F94540" w:rsidRPr="0076580C" w:rsidRDefault="00F94540" w:rsidP="00525540">
            <w:pPr>
              <w:jc w:val="both"/>
              <w:rPr>
                <w:rFonts w:ascii="Times New Roman" w:hAnsi="Times New Roman" w:cs="Times New Roman"/>
                <w:lang w:val="en-GB"/>
              </w:rPr>
            </w:pPr>
          </w:p>
        </w:tc>
        <w:tc>
          <w:tcPr>
            <w:tcW w:w="5615" w:type="dxa"/>
          </w:tcPr>
          <w:p w14:paraId="7320066A"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ικανότητα ενός συστήματος και των επιμέρους στοιχείων του να προβλέπει, να απορροφά, να διευκολύνει ή να αναρρώνει από τις επιπτώσεις ενός επικίνδυνου συμβάντος έγκαιρα και αποτελεσματικά, εξασφαλίζοντας μεταξύ άλλων τη διατήρηση, αποκατάσταση ή βελτίωση της βασικής, στοιχειώδους δομής και λειτουργίας του.</w:t>
            </w:r>
          </w:p>
        </w:tc>
        <w:tc>
          <w:tcPr>
            <w:tcW w:w="616" w:type="dxa"/>
          </w:tcPr>
          <w:p w14:paraId="2EA31043"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w:t>
            </w:r>
          </w:p>
        </w:tc>
      </w:tr>
      <w:tr w:rsidR="00F94540" w:rsidRPr="0076580C" w14:paraId="53CB4BFF" w14:textId="77777777" w:rsidTr="2C6C7817">
        <w:tc>
          <w:tcPr>
            <w:tcW w:w="2062" w:type="dxa"/>
          </w:tcPr>
          <w:p w14:paraId="47596E4D"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Ανθρωπογενής</w:t>
            </w:r>
          </w:p>
        </w:tc>
        <w:tc>
          <w:tcPr>
            <w:tcW w:w="1469" w:type="dxa"/>
          </w:tcPr>
          <w:p w14:paraId="4CE947D4" w14:textId="77777777" w:rsidR="00F94540" w:rsidRPr="0076580C" w:rsidRDefault="00F94540" w:rsidP="002A67F8">
            <w:pPr>
              <w:jc w:val="both"/>
              <w:rPr>
                <w:rFonts w:ascii="Times New Roman" w:hAnsi="Times New Roman" w:cs="Times New Roman"/>
                <w:lang w:val="en-GB"/>
              </w:rPr>
            </w:pPr>
          </w:p>
        </w:tc>
        <w:tc>
          <w:tcPr>
            <w:tcW w:w="5615" w:type="dxa"/>
          </w:tcPr>
          <w:p w14:paraId="2C757146"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Που έχει προκληθεί από τον άνθρωπο. Όσον αφορά το έδαφος, ο όρος αναφέρεται σε συνθήκες, αναταραχές και καταπονήσεις που προξενούνται από την ανθρώπινη δραστηριότητα.</w:t>
            </w:r>
          </w:p>
        </w:tc>
        <w:tc>
          <w:tcPr>
            <w:tcW w:w="616" w:type="dxa"/>
          </w:tcPr>
          <w:p w14:paraId="30875B6E"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w:t>
            </w:r>
          </w:p>
        </w:tc>
      </w:tr>
      <w:tr w:rsidR="00F94540" w:rsidRPr="0076580C" w14:paraId="42CF30A1" w14:textId="77777777" w:rsidTr="2C6C7817">
        <w:tc>
          <w:tcPr>
            <w:tcW w:w="2062" w:type="dxa"/>
          </w:tcPr>
          <w:p w14:paraId="392F68F4"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Ανοργανοποίηση</w:t>
            </w:r>
          </w:p>
        </w:tc>
        <w:tc>
          <w:tcPr>
            <w:tcW w:w="1469" w:type="dxa"/>
          </w:tcPr>
          <w:p w14:paraId="6ADA2105" w14:textId="77777777" w:rsidR="00F94540" w:rsidRPr="0076580C" w:rsidRDefault="00F94540" w:rsidP="00525540">
            <w:pPr>
              <w:jc w:val="both"/>
              <w:rPr>
                <w:rFonts w:ascii="Times New Roman" w:hAnsi="Times New Roman" w:cs="Times New Roman"/>
                <w:lang w:val="en-GB"/>
              </w:rPr>
            </w:pPr>
          </w:p>
        </w:tc>
        <w:tc>
          <w:tcPr>
            <w:tcW w:w="5615" w:type="dxa"/>
          </w:tcPr>
          <w:p w14:paraId="4D31A87D"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αποσύνθεση οργανικών στοιχείων (N, P, S) σε ανόργανα, δηλαδή σε μορφές διαθέσιμες για τα φυτά, από τους ζώντες οργανισμούς του εδάφους.</w:t>
            </w:r>
          </w:p>
        </w:tc>
        <w:tc>
          <w:tcPr>
            <w:tcW w:w="616" w:type="dxa"/>
          </w:tcPr>
          <w:p w14:paraId="05199E01"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7C26E509" w14:textId="77777777" w:rsidTr="2C6C7817">
        <w:tc>
          <w:tcPr>
            <w:tcW w:w="2062" w:type="dxa"/>
          </w:tcPr>
          <w:p w14:paraId="21896708"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Αντίσταση</w:t>
            </w:r>
          </w:p>
        </w:tc>
        <w:tc>
          <w:tcPr>
            <w:tcW w:w="1469" w:type="dxa"/>
          </w:tcPr>
          <w:p w14:paraId="2F426FE1" w14:textId="77777777" w:rsidR="00F94540" w:rsidRPr="0076580C" w:rsidRDefault="00F94540" w:rsidP="00525540">
            <w:pPr>
              <w:jc w:val="both"/>
              <w:rPr>
                <w:rFonts w:ascii="Times New Roman" w:hAnsi="Times New Roman" w:cs="Times New Roman"/>
                <w:lang w:val="en-GB"/>
              </w:rPr>
            </w:pPr>
          </w:p>
        </w:tc>
        <w:tc>
          <w:tcPr>
            <w:tcW w:w="5615" w:type="dxa"/>
          </w:tcPr>
          <w:p w14:paraId="22CAD9A4"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ικανότητα ενός οικοσυστήματος να υφίσταται μία καταπόνηση ή διατάραξη δίχως να επηρεάζεται δυσμενώς η δομή ή η λειτουργία του, παραμένοντας δηλαδή σε κατάσταση ισορροπίας.</w:t>
            </w:r>
          </w:p>
        </w:tc>
        <w:tc>
          <w:tcPr>
            <w:tcW w:w="616" w:type="dxa"/>
          </w:tcPr>
          <w:p w14:paraId="5B0C2651"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693AD292" w14:textId="77777777" w:rsidTr="2C6C7817">
        <w:tc>
          <w:tcPr>
            <w:tcW w:w="2062" w:type="dxa"/>
          </w:tcPr>
          <w:p w14:paraId="7B2D94E2" w14:textId="77777777" w:rsidR="00F94540" w:rsidRPr="0076580C" w:rsidRDefault="00F94540" w:rsidP="00A655ED">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Αξία</w:t>
            </w:r>
          </w:p>
        </w:tc>
        <w:tc>
          <w:tcPr>
            <w:tcW w:w="1469" w:type="dxa"/>
          </w:tcPr>
          <w:p w14:paraId="1EB5A3CE" w14:textId="77777777" w:rsidR="00F94540" w:rsidRPr="0076580C" w:rsidRDefault="00F94540" w:rsidP="00A655ED">
            <w:pPr>
              <w:jc w:val="both"/>
              <w:rPr>
                <w:rFonts w:ascii="Times New Roman" w:hAnsi="Times New Roman" w:cs="Times New Roman"/>
                <w:lang w:val="en-GB"/>
              </w:rPr>
            </w:pPr>
          </w:p>
        </w:tc>
        <w:tc>
          <w:tcPr>
            <w:tcW w:w="5615" w:type="dxa"/>
          </w:tcPr>
          <w:p w14:paraId="3959D97F"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 xml:space="preserve">Στην περιβαλλοντική επιστήμη, η αξία αναφέρεται στη σημασία ή τη βαρύτητα που αποδίδεται στους φυσικούς πόρους, τα οικοσυστήματα και τη βιοποικιλότητα. Ο όρος μπορεί να λαμβάνει διάφορες διαστάσεις, να αναφέρεται </w:t>
            </w:r>
            <w:r w:rsidRPr="0076580C">
              <w:rPr>
                <w:rFonts w:ascii="Times New Roman" w:hAnsi="Times New Roman" w:cs="Times New Roman"/>
                <w:lang w:val="el"/>
              </w:rPr>
              <w:lastRenderedPageBreak/>
              <w:t>δηλαδή στην οικολογική, την οικονομική, την κοινωνική και την εγγενή αξία.</w:t>
            </w:r>
          </w:p>
          <w:p w14:paraId="46F9B7CD"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b/>
                <w:lang w:val="el"/>
              </w:rPr>
              <w:t>Οικολογική αξία</w:t>
            </w:r>
            <w:r w:rsidRPr="0076580C">
              <w:rPr>
                <w:rFonts w:ascii="Times New Roman" w:hAnsi="Times New Roman" w:cs="Times New Roman"/>
                <w:lang w:val="el"/>
              </w:rPr>
              <w:t>: Σχετίζεται με τον ρόλο που παίζουν τα οικοσυστήματα στη διατήρηση της βιοποικιλότητας και της υποστήριξης των βιολογικών διεργασιών. Για παράδειγμα, τα εσωτερικά ύδατα της Ανταρκτικής είναι γνωστά για τη μοναδική τους βιοποικιλότητα και βιολογική παραγωγή, οι οποίες είναι κρίσιμες για τη διατήρηση των ειδών που ενδέχεται να είναι ενδημικά στις πολικές περιοχές.</w:t>
            </w:r>
          </w:p>
          <w:p w14:paraId="750D0511"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b/>
                <w:lang w:val="el"/>
              </w:rPr>
              <w:t>Οικονομική αξία</w:t>
            </w:r>
            <w:r w:rsidRPr="0076580C">
              <w:rPr>
                <w:rFonts w:ascii="Times New Roman" w:hAnsi="Times New Roman" w:cs="Times New Roman"/>
                <w:lang w:val="el"/>
              </w:rPr>
              <w:t>: Περιλαμβάνει τα απτά οφέλη που προκύπτουν από τους φυσικούς πόρους, όπως η ξυλεία, τα ορυκτά και οι οικοσυστημικές υπηρεσίες όπως το καθαρό νερό και ο αέρας. Η οικονομική αξία συχνά εκτιμάται μέσω αγοροκεντρικών προσεγγίσεων ή αναλύσεων κόστους-ωφελείας, οι οποίες ποσοτικοποιούν τα οικονομικά οφέλη της διατήρησης των φυσικών οικοτόπων.</w:t>
            </w:r>
          </w:p>
          <w:p w14:paraId="0F8855F7"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b/>
                <w:lang w:val="el"/>
              </w:rPr>
              <w:t>Κοινωνική αξία</w:t>
            </w:r>
            <w:r w:rsidRPr="0076580C">
              <w:rPr>
                <w:rFonts w:ascii="Times New Roman" w:hAnsi="Times New Roman" w:cs="Times New Roman"/>
                <w:lang w:val="el"/>
              </w:rPr>
              <w:t>: Αντανακλά την πολιτισμική και ψυχαγωγική σημασία των φυσικών περιοχών για τις κοινότητες. Περιλαμβάνει πτυχές όπως η αισθητική εκτίμηση, η πνευματική σύνδεση με τη φύση και οι ευκαιρίες αναψυχής που προσφέρουν τα οικοσυστήματα.</w:t>
            </w:r>
          </w:p>
          <w:p w14:paraId="7C5690B6"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b/>
                <w:lang w:val="el"/>
              </w:rPr>
              <w:t>Εγγενής αξία</w:t>
            </w:r>
            <w:r w:rsidRPr="0076580C">
              <w:rPr>
                <w:rFonts w:ascii="Times New Roman" w:hAnsi="Times New Roman" w:cs="Times New Roman"/>
                <w:lang w:val="el"/>
              </w:rPr>
              <w:t>: Ο όρος υποδηλώνει ότι η φύση έχει αξία αφ’ εαυτού της, ανεξάρτητα από τη χρησιμότητά της για τους ανθρώπους. Αποτελεί επιχείρημα υπέρ της προστασίας των οικοσυστημάτων με βάση την εγγενή αξία τους.</w:t>
            </w:r>
          </w:p>
        </w:tc>
        <w:tc>
          <w:tcPr>
            <w:tcW w:w="616" w:type="dxa"/>
          </w:tcPr>
          <w:p w14:paraId="1FFA87DC"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21,22</w:t>
            </w:r>
          </w:p>
        </w:tc>
      </w:tr>
      <w:tr w:rsidR="00F94540" w:rsidRPr="0076580C" w14:paraId="7839F26E" w14:textId="77777777" w:rsidTr="2C6C7817">
        <w:tc>
          <w:tcPr>
            <w:tcW w:w="2062" w:type="dxa"/>
          </w:tcPr>
          <w:p w14:paraId="10AD081A"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Αξία αντικατάστασης λιπάσματος</w:t>
            </w:r>
          </w:p>
        </w:tc>
        <w:tc>
          <w:tcPr>
            <w:tcW w:w="1469" w:type="dxa"/>
          </w:tcPr>
          <w:p w14:paraId="591C97D9" w14:textId="77777777" w:rsidR="00F94540" w:rsidRPr="0076580C" w:rsidRDefault="00F94540" w:rsidP="00525540">
            <w:pPr>
              <w:jc w:val="both"/>
              <w:rPr>
                <w:rFonts w:ascii="Times New Roman" w:hAnsi="Times New Roman" w:cs="Times New Roman"/>
                <w:lang w:val="en-GB"/>
              </w:rPr>
            </w:pPr>
          </w:p>
        </w:tc>
        <w:tc>
          <w:tcPr>
            <w:tcW w:w="5615" w:type="dxa"/>
          </w:tcPr>
          <w:p w14:paraId="38FA47D5"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Εκφράζεται σε kg/100kg και προσδιορίζει την ποσότητα θρεπτικών συστατικών (π.χ. άζωτο, φώσφορος, κάλιο) που περιέχονται σε 100 κιλά πηγής οργανικών θρεπτικών συστατικών (όπως η κοπριά, το κομπόστ, ή τα υπολείμματα καλλιεργειών), η οποία ισοδυναμεί με την ποσότητα θρεπτικών συστατικών που παρέχουν τα ορυκτά λιπάσματα.</w:t>
            </w:r>
            <w:r w:rsidRPr="0076580C">
              <w:rPr>
                <w:lang w:val="el"/>
              </w:rPr>
              <w:t xml:space="preserve"> Εάν, για παράδειγμα, </w:t>
            </w:r>
            <w:r w:rsidRPr="0076580C">
              <w:rPr>
                <w:rFonts w:ascii="Times New Roman" w:hAnsi="Times New Roman" w:cs="Times New Roman"/>
                <w:lang w:val="el"/>
              </w:rPr>
              <w:t>τα 100 kg κοπριάς έχουν αξία αντικατάστασης 3 kg για τον φώσφορο (P), αυτό σημαίνει ότι παρέχουν ποσότητα διαθέσιμου φωσφόρου ίση με αυτή των 3 kg ενός ορυκτού φωσφορούχου λιπάσματος.</w:t>
            </w:r>
          </w:p>
          <w:p w14:paraId="74A294B6"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 xml:space="preserve">Αυτό το σύστημα βοηθά τους αγρότες να συγκρίνουν πόσα θρεπτικά συστατικά παρέχουν τα οργανικά υλικά στα συνθετικά λιπάσματα και να λαμβάνουν εμπεριστατωμένες αποφάσεις για τη διαχείριση των θρεπτικών συστατικών. </w:t>
            </w:r>
          </w:p>
        </w:tc>
        <w:tc>
          <w:tcPr>
            <w:tcW w:w="616" w:type="dxa"/>
          </w:tcPr>
          <w:p w14:paraId="1C2FFE42"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4, 42</w:t>
            </w:r>
          </w:p>
        </w:tc>
      </w:tr>
      <w:tr w:rsidR="00F94540" w:rsidRPr="0076580C" w14:paraId="58D8F7AE" w14:textId="77777777" w:rsidTr="2C6C7817">
        <w:tc>
          <w:tcPr>
            <w:tcW w:w="2062" w:type="dxa"/>
          </w:tcPr>
          <w:p w14:paraId="62165899"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Απερήμωση</w:t>
            </w:r>
          </w:p>
        </w:tc>
        <w:tc>
          <w:tcPr>
            <w:tcW w:w="1469" w:type="dxa"/>
          </w:tcPr>
          <w:p w14:paraId="0E51E27E" w14:textId="77777777" w:rsidR="00F94540" w:rsidRPr="0076580C" w:rsidRDefault="00F94540" w:rsidP="002A67F8">
            <w:pPr>
              <w:jc w:val="both"/>
              <w:rPr>
                <w:rFonts w:ascii="Times New Roman" w:hAnsi="Times New Roman" w:cs="Times New Roman"/>
                <w:lang w:val="en-GB"/>
              </w:rPr>
            </w:pPr>
          </w:p>
        </w:tc>
        <w:tc>
          <w:tcPr>
            <w:tcW w:w="5615" w:type="dxa"/>
          </w:tcPr>
          <w:p w14:paraId="766AA761"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Η διαδικασία κατά την οποία σχετικά ξηρό έδαφος γίνεται όλο και περισσότερο άγονο, συνήθως χάνοντας το υδατικό του σύστημα, καθώς και την όποια βλάστηση και την άγρια πανίδα, είτε άμεσα λόγω της κλιματικής αλλαγής είτε έμμεσα μέσω της υποβάθμισης του εδάφους λόγω ανεπαρκούς διαχείρισης.</w:t>
            </w:r>
          </w:p>
        </w:tc>
        <w:tc>
          <w:tcPr>
            <w:tcW w:w="616" w:type="dxa"/>
          </w:tcPr>
          <w:p w14:paraId="74A42980"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62615AF3" w14:textId="77777777" w:rsidTr="2C6C7817">
        <w:tc>
          <w:tcPr>
            <w:tcW w:w="2062" w:type="dxa"/>
          </w:tcPr>
          <w:p w14:paraId="16A2A282"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Απονίτρωση</w:t>
            </w:r>
          </w:p>
        </w:tc>
        <w:tc>
          <w:tcPr>
            <w:tcW w:w="1469" w:type="dxa"/>
          </w:tcPr>
          <w:p w14:paraId="784115F6" w14:textId="77777777" w:rsidR="00F94540" w:rsidRPr="0076580C" w:rsidRDefault="00F94540" w:rsidP="002A67F8">
            <w:pPr>
              <w:jc w:val="both"/>
              <w:rPr>
                <w:rFonts w:ascii="Times New Roman" w:hAnsi="Times New Roman" w:cs="Times New Roman"/>
                <w:lang w:val="en-GB"/>
              </w:rPr>
            </w:pPr>
          </w:p>
        </w:tc>
        <w:tc>
          <w:tcPr>
            <w:tcW w:w="5615" w:type="dxa"/>
          </w:tcPr>
          <w:p w14:paraId="73F47C2B"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Διεργασία κατά την οποία ορισμένα είδη αναερόβιων βακτηρίων του εδάφους μετατρέπουν τα νιτρώδη ή νιτρικά άλατα σε αέριο άζωτο (N</w:t>
            </w:r>
            <w:r w:rsidRPr="0076580C">
              <w:rPr>
                <w:rFonts w:ascii="Times New Roman" w:hAnsi="Times New Roman" w:cs="Times New Roman"/>
                <w:vertAlign w:val="subscript"/>
                <w:lang w:val="el"/>
              </w:rPr>
              <w:t>2</w:t>
            </w:r>
            <w:r w:rsidRPr="0076580C">
              <w:rPr>
                <w:rFonts w:ascii="Times New Roman" w:hAnsi="Times New Roman" w:cs="Times New Roman"/>
                <w:lang w:val="el"/>
              </w:rPr>
              <w:t>) ή υποξείδιο του αζώτου (N</w:t>
            </w:r>
            <w:r w:rsidRPr="0076580C">
              <w:rPr>
                <w:rFonts w:ascii="Times New Roman" w:hAnsi="Times New Roman" w:cs="Times New Roman"/>
                <w:vertAlign w:val="subscript"/>
                <w:lang w:val="el"/>
              </w:rPr>
              <w:t>2</w:t>
            </w:r>
            <w:r w:rsidRPr="0076580C">
              <w:rPr>
                <w:rFonts w:ascii="Times New Roman" w:hAnsi="Times New Roman" w:cs="Times New Roman"/>
                <w:lang w:val="el"/>
              </w:rPr>
              <w:t>O). Τόσο το N</w:t>
            </w:r>
            <w:r w:rsidRPr="0076580C">
              <w:rPr>
                <w:rFonts w:ascii="Times New Roman" w:hAnsi="Times New Roman" w:cs="Times New Roman"/>
                <w:vertAlign w:val="subscript"/>
                <w:lang w:val="el"/>
              </w:rPr>
              <w:t>2</w:t>
            </w:r>
            <w:r w:rsidRPr="0076580C">
              <w:rPr>
                <w:rFonts w:ascii="Times New Roman" w:hAnsi="Times New Roman" w:cs="Times New Roman"/>
                <w:lang w:val="el"/>
              </w:rPr>
              <w:t xml:space="preserve"> όσο και το N</w:t>
            </w:r>
            <w:r w:rsidRPr="0076580C">
              <w:rPr>
                <w:rFonts w:ascii="Times New Roman" w:hAnsi="Times New Roman" w:cs="Times New Roman"/>
                <w:vertAlign w:val="subscript"/>
                <w:lang w:val="el"/>
              </w:rPr>
              <w:t>2</w:t>
            </w:r>
            <w:r w:rsidRPr="0076580C">
              <w:rPr>
                <w:rFonts w:ascii="Times New Roman" w:hAnsi="Times New Roman" w:cs="Times New Roman"/>
                <w:lang w:val="el"/>
              </w:rPr>
              <w:t>O είναι πτητικά και διαφεύγουν στην ατμόσφαιρα.</w:t>
            </w:r>
          </w:p>
        </w:tc>
        <w:tc>
          <w:tcPr>
            <w:tcW w:w="616" w:type="dxa"/>
          </w:tcPr>
          <w:p w14:paraId="054C7CEE"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w:t>
            </w:r>
          </w:p>
        </w:tc>
      </w:tr>
      <w:tr w:rsidR="00F94540" w:rsidRPr="0076580C" w14:paraId="0EE341CC" w14:textId="77777777" w:rsidTr="2C6C7817">
        <w:tc>
          <w:tcPr>
            <w:tcW w:w="2062" w:type="dxa"/>
          </w:tcPr>
          <w:p w14:paraId="4BEB07B9"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Αποστράγγιση (φυσική)</w:t>
            </w:r>
          </w:p>
        </w:tc>
        <w:tc>
          <w:tcPr>
            <w:tcW w:w="1469" w:type="dxa"/>
          </w:tcPr>
          <w:p w14:paraId="1294302F" w14:textId="77777777" w:rsidR="00F94540" w:rsidRPr="0076580C" w:rsidRDefault="00F94540" w:rsidP="002A67F8">
            <w:pPr>
              <w:jc w:val="both"/>
              <w:rPr>
                <w:rFonts w:ascii="Times New Roman" w:hAnsi="Times New Roman" w:cs="Times New Roman"/>
                <w:lang w:val="en-GB"/>
              </w:rPr>
            </w:pPr>
          </w:p>
        </w:tc>
        <w:tc>
          <w:tcPr>
            <w:tcW w:w="5615" w:type="dxa"/>
          </w:tcPr>
          <w:p w14:paraId="5A0924BC" w14:textId="77777777" w:rsidR="00F94540" w:rsidRPr="0076580C" w:rsidRDefault="00F94540" w:rsidP="002A67F8">
            <w:pPr>
              <w:jc w:val="both"/>
              <w:rPr>
                <w:rFonts w:ascii="Times New Roman" w:hAnsi="Times New Roman" w:cs="Times New Roman"/>
                <w:lang w:val="el-GR"/>
              </w:rPr>
            </w:pPr>
          </w:p>
          <w:p w14:paraId="2BD319D6"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Η φυσική ικανότητα του εδάφους να αποστραγγίζει την περίσσεια ύδατος μέσω της διήθησης, εν αντιθέσει με την τεχνητή αποστράγγιση που συνήθως επιτυγχάνεται μέσω ενός συστήματος φρεατίων ή τάφρων.</w:t>
            </w:r>
          </w:p>
        </w:tc>
        <w:tc>
          <w:tcPr>
            <w:tcW w:w="616" w:type="dxa"/>
          </w:tcPr>
          <w:p w14:paraId="5C9302E7"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17936BAA" w14:textId="77777777" w:rsidTr="2C6C7817">
        <w:tc>
          <w:tcPr>
            <w:tcW w:w="2062" w:type="dxa"/>
          </w:tcPr>
          <w:p w14:paraId="3F5FD579"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lastRenderedPageBreak/>
              <w:t>Αρόσιμη γη</w:t>
            </w:r>
          </w:p>
        </w:tc>
        <w:tc>
          <w:tcPr>
            <w:tcW w:w="1469" w:type="dxa"/>
          </w:tcPr>
          <w:p w14:paraId="5A8D5CCB" w14:textId="77777777" w:rsidR="00F94540" w:rsidRPr="0076580C" w:rsidRDefault="00F94540" w:rsidP="002A67F8">
            <w:pPr>
              <w:jc w:val="both"/>
              <w:rPr>
                <w:rFonts w:ascii="Times New Roman" w:hAnsi="Times New Roman" w:cs="Times New Roman"/>
                <w:lang w:val="en-GB"/>
              </w:rPr>
            </w:pPr>
          </w:p>
        </w:tc>
        <w:tc>
          <w:tcPr>
            <w:tcW w:w="5615" w:type="dxa"/>
          </w:tcPr>
          <w:p w14:paraId="7C2DCFC7"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Γη που υφίσταται τακτική επεξεργασία (όργωμα ή φρεζάρισμα), συνήθως σε σύστημα εναλλαγής καλλιεργειών. Η συνολική έκταση καλλιεργήσιμων εδαφών, λιβαδιών και βοσκοτόπων που είναι διαθέσιμη για καλλιέργειες, αλλά στην τρέχουσα χρονική στιγμή βρίσκεται σε αγρανάπαυση.</w:t>
            </w:r>
          </w:p>
        </w:tc>
        <w:tc>
          <w:tcPr>
            <w:tcW w:w="616" w:type="dxa"/>
          </w:tcPr>
          <w:p w14:paraId="0489050D"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w:t>
            </w:r>
          </w:p>
        </w:tc>
      </w:tr>
      <w:tr w:rsidR="00F94540" w:rsidRPr="0076580C" w14:paraId="669083A0" w14:textId="77777777" w:rsidTr="2C6C7817">
        <w:tc>
          <w:tcPr>
            <w:tcW w:w="2062" w:type="dxa"/>
          </w:tcPr>
          <w:p w14:paraId="0D96051E" w14:textId="77777777" w:rsidR="00F94540" w:rsidRPr="0076580C" w:rsidRDefault="00F94540" w:rsidP="00A655ED">
            <w:pPr>
              <w:rPr>
                <w:rFonts w:ascii="Times New Roman" w:hAnsi="Times New Roman" w:cs="Times New Roman"/>
                <w:b/>
                <w:color w:val="BF4E14" w:themeColor="accent2" w:themeShade="BF"/>
                <w:lang w:val="en-GB"/>
              </w:rPr>
            </w:pPr>
            <w:r w:rsidRPr="0076580C">
              <w:rPr>
                <w:rFonts w:ascii="Times New Roman" w:hAnsi="Times New Roman" w:cs="Times New Roman"/>
                <w:b/>
                <w:color w:val="3A7C22" w:themeColor="accent6" w:themeShade="BF"/>
                <w:lang w:val="el"/>
              </w:rPr>
              <w:t>Αρπαγή γης</w:t>
            </w:r>
          </w:p>
        </w:tc>
        <w:tc>
          <w:tcPr>
            <w:tcW w:w="1469" w:type="dxa"/>
          </w:tcPr>
          <w:p w14:paraId="4F4F17C1" w14:textId="77777777" w:rsidR="00F94540" w:rsidRPr="0076580C" w:rsidRDefault="00F94540" w:rsidP="00A655ED">
            <w:pPr>
              <w:jc w:val="both"/>
              <w:rPr>
                <w:rFonts w:ascii="Times New Roman" w:hAnsi="Times New Roman" w:cs="Times New Roman"/>
                <w:lang w:val="en-GB"/>
              </w:rPr>
            </w:pPr>
          </w:p>
        </w:tc>
        <w:tc>
          <w:tcPr>
            <w:tcW w:w="5615" w:type="dxa"/>
          </w:tcPr>
          <w:p w14:paraId="284F285F"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Αρπαγή γης είναι ο έλεγχος - είτε μέσω κατοχής, ενοικίασης, παραχώρησης, σύναψης συμβάσεων, ποσόστωσης, ή γενικότερα εξουσίας - εκτάσεων γης που είναι μεγαλύτερες από το σύνηθες σε εκάστοτε περιοχή, από ένα ή περισσότερα πρόσωπα ή οντότητες, δημοσίου ή ιδιωτικού δικαίου, αλλοδαπά ή ημεδαπά, με οποιοδήποτε μέσο - είτε «νόμιμο» είτε «παράνομο» - για λόγους κερδοσκοπίας, εξόρυξης, ελέγχου των φυσικών πόρων ή εμπορευματοποίησης, εις βάρος των γεωργών της περιοχής, της αγροοικολογίας, της διαχείρισης γης, της επισιτιστικής κυριαρχίας και των ανθρωπίνων δικαιωμάτων.</w:t>
            </w:r>
          </w:p>
        </w:tc>
        <w:tc>
          <w:tcPr>
            <w:tcW w:w="616" w:type="dxa"/>
          </w:tcPr>
          <w:p w14:paraId="7FCC9581"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11</w:t>
            </w:r>
          </w:p>
        </w:tc>
      </w:tr>
      <w:tr w:rsidR="00F94540" w:rsidRPr="0076580C" w14:paraId="28A90CCF" w14:textId="77777777" w:rsidTr="2C6C7817">
        <w:tc>
          <w:tcPr>
            <w:tcW w:w="2062" w:type="dxa"/>
          </w:tcPr>
          <w:p w14:paraId="51168470"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Βιολογική καλλιέργεια</w:t>
            </w:r>
          </w:p>
        </w:tc>
        <w:tc>
          <w:tcPr>
            <w:tcW w:w="1469" w:type="dxa"/>
          </w:tcPr>
          <w:p w14:paraId="67E3AB6E" w14:textId="77777777" w:rsidR="00F94540" w:rsidRPr="0076580C" w:rsidRDefault="00F94540" w:rsidP="00525540">
            <w:pPr>
              <w:jc w:val="both"/>
              <w:rPr>
                <w:rFonts w:ascii="Times New Roman" w:hAnsi="Times New Roman" w:cs="Times New Roman"/>
                <w:lang w:val="en-GB"/>
              </w:rPr>
            </w:pPr>
          </w:p>
        </w:tc>
        <w:tc>
          <w:tcPr>
            <w:tcW w:w="5615" w:type="dxa"/>
          </w:tcPr>
          <w:p w14:paraId="243486A3"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Σύστημα παραγωγής που αποφεύγει τις συνθετικές χημικές ουσίες και προάγει τις φυσικές πρακτικές για την καλλιέργεια των φυτών και την εκτροφή των ζώων. Δίνει προτεραιότητα στην υγεία του περιβάλλοντος και του εδάφους, ενώ αποφεύγει τους γενετικά τροποποιημένους οργανισμούς (ΓΤΟ), τα συνθετικά παρασιτοκτόνα και τα αντιβιοτικά. Βασίζεται σε οικολογικές διεργασίες, στη βιοποικιλότητα και σε κύκλους προσαρμοσμένους στις τοπικές συνθήκες, και όχι στη χρήση εισροών που έχουν αρνητικές συνέπειες.</w:t>
            </w:r>
          </w:p>
        </w:tc>
        <w:tc>
          <w:tcPr>
            <w:tcW w:w="616" w:type="dxa"/>
          </w:tcPr>
          <w:p w14:paraId="0E1DCF5E"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w:t>
            </w:r>
          </w:p>
        </w:tc>
      </w:tr>
      <w:tr w:rsidR="00F94540" w:rsidRPr="0076580C" w14:paraId="74A232CF" w14:textId="77777777" w:rsidTr="2C6C7817">
        <w:tc>
          <w:tcPr>
            <w:tcW w:w="2062" w:type="dxa"/>
          </w:tcPr>
          <w:p w14:paraId="785D3BDC"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Βιομάζα</w:t>
            </w:r>
          </w:p>
        </w:tc>
        <w:tc>
          <w:tcPr>
            <w:tcW w:w="1469" w:type="dxa"/>
          </w:tcPr>
          <w:p w14:paraId="2BCE5EE2" w14:textId="77777777" w:rsidR="00F94540" w:rsidRPr="0076580C" w:rsidRDefault="00F94540" w:rsidP="002A67F8">
            <w:pPr>
              <w:jc w:val="both"/>
              <w:rPr>
                <w:rFonts w:ascii="Times New Roman" w:hAnsi="Times New Roman" w:cs="Times New Roman"/>
                <w:lang w:val="en-GB"/>
              </w:rPr>
            </w:pPr>
          </w:p>
        </w:tc>
        <w:tc>
          <w:tcPr>
            <w:tcW w:w="5615" w:type="dxa"/>
          </w:tcPr>
          <w:p w14:paraId="271AD699"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Οργανικό υλικό βιολογικής προέλευσης (από φυτά και ζώα). Ο όρος μπορεί να αναφέρεται σε αγροτοβιομηχανικά απόβλητα και λύματα, ενεργειακές καλλιέργειες, φυσικές πρώτες ύλες (π.χ. ξύλο) ή οργανικά απορρίμματα. Η βιομάζα μπορεί να χρησιμοποιηθεί για τη βελτίωση της γονιμότητας και της υγείας του εδάφους, την αύξηση της αποθήκευσης άνθρακα, ή εναλλακτικά αντί των ορυκτών πρώτων υλών σε βιοδιυλιστήρια και βιομηχανικές διεργασίες, ως πρώτη ύλη για την παραγωγή βιοκαυσίμων.</w:t>
            </w:r>
          </w:p>
        </w:tc>
        <w:tc>
          <w:tcPr>
            <w:tcW w:w="616" w:type="dxa"/>
          </w:tcPr>
          <w:p w14:paraId="4BA784E5"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w:t>
            </w:r>
          </w:p>
        </w:tc>
      </w:tr>
      <w:tr w:rsidR="00F94540" w:rsidRPr="0076580C" w14:paraId="42AE678B" w14:textId="77777777" w:rsidTr="2C6C7817">
        <w:tc>
          <w:tcPr>
            <w:tcW w:w="2062" w:type="dxa"/>
          </w:tcPr>
          <w:p w14:paraId="0D842571" w14:textId="77777777" w:rsidR="00F94540" w:rsidRPr="0076580C" w:rsidRDefault="00F94540" w:rsidP="002A67F8">
            <w:pPr>
              <w:rPr>
                <w:rFonts w:ascii="Times New Roman" w:hAnsi="Times New Roman" w:cs="Times New Roman"/>
                <w:b/>
                <w:lang w:val="en-GB"/>
              </w:rPr>
            </w:pPr>
            <w:r w:rsidRPr="0076580C">
              <w:rPr>
                <w:rFonts w:ascii="Times New Roman" w:hAnsi="Times New Roman" w:cs="Times New Roman"/>
                <w:b/>
                <w:color w:val="3A7C22" w:themeColor="accent6" w:themeShade="BF"/>
                <w:lang w:val="el"/>
              </w:rPr>
              <w:t>Βιοποικιλότητα</w:t>
            </w:r>
          </w:p>
        </w:tc>
        <w:tc>
          <w:tcPr>
            <w:tcW w:w="1469" w:type="dxa"/>
          </w:tcPr>
          <w:p w14:paraId="219D0571" w14:textId="77777777" w:rsidR="00F94540" w:rsidRPr="0076580C" w:rsidRDefault="00F94540" w:rsidP="002A67F8">
            <w:pPr>
              <w:jc w:val="both"/>
              <w:rPr>
                <w:rFonts w:ascii="Times New Roman" w:hAnsi="Times New Roman" w:cs="Times New Roman"/>
                <w:lang w:val="en-GB"/>
              </w:rPr>
            </w:pPr>
          </w:p>
        </w:tc>
        <w:tc>
          <w:tcPr>
            <w:tcW w:w="5615" w:type="dxa"/>
          </w:tcPr>
          <w:p w14:paraId="1FE68C08" w14:textId="77777777" w:rsidR="00F94540" w:rsidRPr="0076580C" w:rsidRDefault="00F94540" w:rsidP="00AC40AC">
            <w:pPr>
              <w:jc w:val="both"/>
              <w:rPr>
                <w:rFonts w:ascii="Times New Roman" w:hAnsi="Times New Roman" w:cs="Times New Roman"/>
                <w:lang w:val="el-GR"/>
              </w:rPr>
            </w:pPr>
            <w:r w:rsidRPr="0076580C">
              <w:rPr>
                <w:rFonts w:ascii="Times New Roman" w:hAnsi="Times New Roman" w:cs="Times New Roman"/>
                <w:lang w:val="el"/>
              </w:rPr>
              <w:t>Η ποικιλία μορφών ζωής στη Γη σε όλα τα επίπεδα, η οποία περιλαμβάνει τις γενετικές διαφοροποιήσεις εντός αλλά και μεταξύ των ειδών, και την ποικιλομορφία των οικοσυστημάτων. Εμπεριέχει όλο το φάσμα φυτών, ζώων, μυκήτων και μικροοργανισμών, και τα οικολογικά συμπλέγματα στα οποία ανήκουν. Η βιοποικιλότητα είναι ουσιαστικής σημασίας για τη σταθερότητα και την ανθεκτικότητα των οικοσυστημάτων, καθώς στηρίζει τις διαδικασίες διατήρησης της ζωής, όπως την ανακύκλωση των θρεπτικών συστατικών, την επικονίαση, τον σχηματισμό του εδάφους και τη ρύθμιση του κλίματος.</w:t>
            </w:r>
          </w:p>
          <w:p w14:paraId="6A96C96C" w14:textId="77777777" w:rsidR="00F94540" w:rsidRPr="0076580C" w:rsidRDefault="00F94540" w:rsidP="00AC40AC">
            <w:pPr>
              <w:jc w:val="both"/>
              <w:rPr>
                <w:rFonts w:ascii="Times New Roman" w:hAnsi="Times New Roman" w:cs="Times New Roman"/>
                <w:lang w:val="el-GR"/>
              </w:rPr>
            </w:pPr>
            <w:r w:rsidRPr="0076580C">
              <w:rPr>
                <w:rFonts w:ascii="Times New Roman" w:hAnsi="Times New Roman" w:cs="Times New Roman"/>
                <w:lang w:val="el"/>
              </w:rPr>
              <w:t xml:space="preserve">Οι λειτουργίες της βιοποικιλότητας είναι κρίσιμες τόσο για τα φυσικά οικοσυστήματα όσο και για την ανθρώπινη ευημερία. Παρέχει οικοσυστημικές υπηρεσίες όπως τροφή, καθαρό νερό, φάρμακα και πρώτες ύλες, ενώ ταυτόχρονα συμβάλλει στις πολιτισμικές, ψυχαγωγικές και αισθητικές αξίες. Η βιοποικιλότητα βελτιώνει την παραγωγικότητα και την ανθεκτικότητα των οικοσυστημάτων, βοηθώντας τα να ανακάμπτουν μετά από τυχόν αναταραχές, και να προσαρμόζονται σε μεταβολές όπως αυτές που προκαλούνται από την κλιματική αλλαγή. Η απώλεια βιοποικιλότητας </w:t>
            </w:r>
            <w:r w:rsidRPr="0076580C">
              <w:rPr>
                <w:rFonts w:ascii="Times New Roman" w:hAnsi="Times New Roman" w:cs="Times New Roman"/>
                <w:lang w:val="el"/>
              </w:rPr>
              <w:lastRenderedPageBreak/>
              <w:t>εξαιτίας της καταστροφής των οικοτόπων, της ρύπανσης, της υπερεκμετάλλευσης και των χωροκατακτητικών ειδών απειλεί αυτές τις ζωτικές λειτουργίες και υπηρεσίες.</w:t>
            </w:r>
          </w:p>
        </w:tc>
        <w:tc>
          <w:tcPr>
            <w:tcW w:w="616" w:type="dxa"/>
          </w:tcPr>
          <w:p w14:paraId="35BA2F1E"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39</w:t>
            </w:r>
          </w:p>
        </w:tc>
      </w:tr>
      <w:tr w:rsidR="00F94540" w:rsidRPr="0076580C" w14:paraId="110BDC38" w14:textId="77777777" w:rsidTr="2C6C7817">
        <w:tc>
          <w:tcPr>
            <w:tcW w:w="2062" w:type="dxa"/>
          </w:tcPr>
          <w:p w14:paraId="37C70A93"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Γεωργία</w:t>
            </w:r>
          </w:p>
        </w:tc>
        <w:tc>
          <w:tcPr>
            <w:tcW w:w="1469" w:type="dxa"/>
          </w:tcPr>
          <w:p w14:paraId="69ED8364" w14:textId="77777777" w:rsidR="00F94540" w:rsidRPr="0076580C" w:rsidRDefault="00F94540" w:rsidP="002A67F8">
            <w:pPr>
              <w:jc w:val="both"/>
              <w:rPr>
                <w:rFonts w:ascii="Times New Roman" w:hAnsi="Times New Roman" w:cs="Times New Roman"/>
                <w:lang w:val="en-GB"/>
              </w:rPr>
            </w:pPr>
          </w:p>
        </w:tc>
        <w:tc>
          <w:tcPr>
            <w:tcW w:w="5615" w:type="dxa"/>
          </w:tcPr>
          <w:p w14:paraId="57D672EF"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color w:val="404040" w:themeColor="text1" w:themeTint="BF"/>
                <w:lang w:val="el"/>
              </w:rPr>
              <w:t>Η γεωργία είναι η επιστήμη, τέχνη και πρακτική της καλλιέργειας φυτών και εκτροφής ζώων με σκοπό την εξασφάλιση τροφής, ινών, φαρμακευτικών φυτών και άλλων προϊόντων για τη διατήρηση και βελτίωση της ανθρώπινης ζωής. Περιλαμβάνει πολλές διαφορετικές δραστηριότητες, όπως η προετοιμασία του εδάφους, η φύτευση, η άρδευση, ο έλεγχος παρασίτων, η συγκομιδή και η διαχείριση του ζωικού κεφαλαίου. Η γεωργία είναι θεμελιώδες συστατικό του ανθρώπινου πολιτισμού, αφού αποτελεί την πρωταρχική πηγή τροφής, αλλά και πρώτων υλών για τη βιομηχανία. Παίζει επίσης πολύ σημαντικό ρόλο στην οικονομική ανάπτυξη, τη διαχείριση του περιβάλλοντος και τις πολιτιστικές πρακτικές.</w:t>
            </w:r>
          </w:p>
        </w:tc>
        <w:tc>
          <w:tcPr>
            <w:tcW w:w="616" w:type="dxa"/>
          </w:tcPr>
          <w:p w14:paraId="59043255"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38</w:t>
            </w:r>
          </w:p>
        </w:tc>
      </w:tr>
      <w:tr w:rsidR="00F94540" w:rsidRPr="0076580C" w14:paraId="466E6A03" w14:textId="77777777" w:rsidTr="2C6C7817">
        <w:tc>
          <w:tcPr>
            <w:tcW w:w="2062" w:type="dxa"/>
          </w:tcPr>
          <w:p w14:paraId="0F0C150E"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Γεωργία διατήρησης</w:t>
            </w:r>
          </w:p>
        </w:tc>
        <w:tc>
          <w:tcPr>
            <w:tcW w:w="1469" w:type="dxa"/>
          </w:tcPr>
          <w:p w14:paraId="5D908337" w14:textId="77777777" w:rsidR="00F94540" w:rsidRPr="0076580C" w:rsidRDefault="00F94540" w:rsidP="002A67F8">
            <w:pPr>
              <w:jc w:val="both"/>
              <w:rPr>
                <w:rFonts w:ascii="Times New Roman" w:hAnsi="Times New Roman" w:cs="Times New Roman"/>
                <w:lang w:val="en-GB"/>
              </w:rPr>
            </w:pPr>
          </w:p>
        </w:tc>
        <w:tc>
          <w:tcPr>
            <w:tcW w:w="5615" w:type="dxa"/>
          </w:tcPr>
          <w:p w14:paraId="0C06B99D"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Μία μέθοδος καλλιέργειας που περιλαμβάνει την ελάχιστη δυνατή αναταραχή του εδάφους (μηδενικό όργωμα, ελάχιστο όργωμα, μειωμένο όργωμα, όργωμα σε λωρίδες, σπορά χωρίς όργωμα), εναλλαγή καλλιεργειών, και μόνιμη κάλυψη εδαφών (</w:t>
            </w:r>
            <w:r>
              <w:fldChar w:fldCharType="begin"/>
            </w:r>
            <w:r>
              <w:instrText>HYPERLINK</w:instrText>
            </w:r>
            <w:r w:rsidRPr="00F94540">
              <w:rPr>
                <w:lang w:val="el-GR"/>
              </w:rPr>
              <w:instrText xml:space="preserve"> "</w:instrText>
            </w:r>
            <w:r>
              <w:instrText>http</w:instrText>
            </w:r>
            <w:r w:rsidRPr="00F94540">
              <w:rPr>
                <w:lang w:val="el-GR"/>
              </w:rPr>
              <w:instrText>://</w:instrText>
            </w:r>
            <w:r>
              <w:instrText>www</w:instrText>
            </w:r>
            <w:r w:rsidRPr="00F94540">
              <w:rPr>
                <w:lang w:val="el-GR"/>
              </w:rPr>
              <w:instrText>.</w:instrText>
            </w:r>
            <w:r>
              <w:instrText>fao</w:instrText>
            </w:r>
            <w:r w:rsidRPr="00F94540">
              <w:rPr>
                <w:lang w:val="el-GR"/>
              </w:rPr>
              <w:instrText>.</w:instrText>
            </w:r>
            <w:r>
              <w:instrText>org</w:instrText>
            </w:r>
            <w:r w:rsidRPr="00F94540">
              <w:rPr>
                <w:lang w:val="el-GR"/>
              </w:rPr>
              <w:instrText>/</w:instrText>
            </w:r>
            <w:r>
              <w:instrText>ag</w:instrText>
            </w:r>
            <w:r w:rsidRPr="00F94540">
              <w:rPr>
                <w:lang w:val="el-GR"/>
              </w:rPr>
              <w:instrText>/</w:instrText>
            </w:r>
            <w:r>
              <w:instrText>ca</w:instrText>
            </w:r>
            <w:r w:rsidRPr="00F94540">
              <w:rPr>
                <w:lang w:val="el-GR"/>
              </w:rPr>
              <w:instrText>/"</w:instrText>
            </w:r>
            <w:r>
              <w:fldChar w:fldCharType="separate"/>
            </w:r>
            <w:r w:rsidRPr="0076580C">
              <w:rPr>
                <w:rStyle w:val="Hyperlink"/>
                <w:rFonts w:ascii="Times New Roman" w:hAnsi="Times New Roman" w:cs="Times New Roman"/>
                <w:lang w:val="el"/>
              </w:rPr>
              <w:t>http://www.fao.org/ag/ca/</w:t>
            </w:r>
            <w:r>
              <w:fldChar w:fldCharType="end"/>
            </w:r>
            <w:r w:rsidRPr="0076580C">
              <w:rPr>
                <w:rFonts w:ascii="Times New Roman" w:hAnsi="Times New Roman" w:cs="Times New Roman"/>
                <w:lang w:val="el"/>
              </w:rPr>
              <w:t>).</w:t>
            </w:r>
          </w:p>
        </w:tc>
        <w:tc>
          <w:tcPr>
            <w:tcW w:w="616" w:type="dxa"/>
          </w:tcPr>
          <w:p w14:paraId="790B6D56"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30E16EEE" w14:textId="77777777" w:rsidTr="2C6C7817">
        <w:tc>
          <w:tcPr>
            <w:tcW w:w="2062" w:type="dxa"/>
          </w:tcPr>
          <w:p w14:paraId="14E5D2FA" w14:textId="77777777" w:rsidR="00F94540" w:rsidRPr="0076580C" w:rsidRDefault="00F94540" w:rsidP="00A655ED">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Γεωργία εκτός εδάφους</w:t>
            </w:r>
          </w:p>
        </w:tc>
        <w:tc>
          <w:tcPr>
            <w:tcW w:w="1469" w:type="dxa"/>
          </w:tcPr>
          <w:p w14:paraId="4FDB8B26" w14:textId="77777777" w:rsidR="00F94540" w:rsidRPr="0076580C" w:rsidRDefault="00F94540" w:rsidP="00A655ED">
            <w:pPr>
              <w:jc w:val="both"/>
              <w:rPr>
                <w:rFonts w:ascii="Times New Roman" w:hAnsi="Times New Roman" w:cs="Times New Roman"/>
                <w:lang w:val="en-GB"/>
              </w:rPr>
            </w:pPr>
          </w:p>
        </w:tc>
        <w:tc>
          <w:tcPr>
            <w:tcW w:w="5615" w:type="dxa"/>
          </w:tcPr>
          <w:p w14:paraId="347611D6"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Μία γεωργική μέθοδος που δεν βασίζεται στη συμβατική καλλιέργεια στο έδαφος. Η προσέγγιση αυτή αξιοποιεί εναλακτικά μέσα καλλιέργειας όπως η υδροπονία, η αεροπονία ή η υδατοπονία για την καλλιέργεια των φυτών. Η γεωργία εκτός εδάφους στοχεύει στη βελτιστοποιημένη χρήση των πόρων, την ελαχιστοποίηση της υποβάθμισης της γης και τη βελτίωση της παραγωγής τροφίμων σε αστικά ή άγονα περιβάλλοντα με ιδιαίτερα χαμηλή ή ανύπαρκτη ποιότητα εδαφών. Αυτή η μέθοδος συχνά δίνει έμφαση στη βιωσιμότητα, την αποδοτικότητα και την ικανότητα ελέγχου των περιβαλλοντικών παραμέτρων για τη βελτίωση της απόδοσης των καλλιεργειών.</w:t>
            </w:r>
          </w:p>
        </w:tc>
        <w:tc>
          <w:tcPr>
            <w:tcW w:w="616" w:type="dxa"/>
          </w:tcPr>
          <w:p w14:paraId="30972133"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33</w:t>
            </w:r>
          </w:p>
        </w:tc>
      </w:tr>
      <w:tr w:rsidR="00F94540" w:rsidRPr="0076580C" w14:paraId="7A48D08E" w14:textId="77777777" w:rsidTr="2C6C7817">
        <w:tc>
          <w:tcPr>
            <w:tcW w:w="2062" w:type="dxa"/>
          </w:tcPr>
          <w:p w14:paraId="53696C4A"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Γη σε αγρανάπαυση</w:t>
            </w:r>
          </w:p>
        </w:tc>
        <w:tc>
          <w:tcPr>
            <w:tcW w:w="1469" w:type="dxa"/>
          </w:tcPr>
          <w:p w14:paraId="0E6C25D5" w14:textId="77777777" w:rsidR="00F94540" w:rsidRPr="0076580C" w:rsidRDefault="00F94540" w:rsidP="002A67F8">
            <w:pPr>
              <w:jc w:val="both"/>
              <w:rPr>
                <w:rFonts w:ascii="Times New Roman" w:hAnsi="Times New Roman" w:cs="Times New Roman"/>
                <w:lang w:val="en-GB"/>
              </w:rPr>
            </w:pPr>
          </w:p>
        </w:tc>
        <w:tc>
          <w:tcPr>
            <w:tcW w:w="5615" w:type="dxa"/>
          </w:tcPr>
          <w:p w14:paraId="65F412C6" w14:textId="77777777" w:rsidR="00F94540" w:rsidRPr="00F94540" w:rsidRDefault="00F94540" w:rsidP="002A67F8">
            <w:pPr>
              <w:jc w:val="both"/>
              <w:rPr>
                <w:rFonts w:ascii="Times New Roman" w:hAnsi="Times New Roman" w:cs="Times New Roman"/>
                <w:lang w:val="el-GR"/>
              </w:rPr>
            </w:pPr>
            <w:r w:rsidRPr="0076580C">
              <w:rPr>
                <w:rFonts w:ascii="Times New Roman" w:hAnsi="Times New Roman" w:cs="Times New Roman"/>
                <w:lang w:val="el"/>
              </w:rPr>
              <w:t>Καλλιεργήσιμη έκταση που αφήνεται ακαλλιέργητη ώστε να αποκατασταθεί η γονιμότητά της μέσω της συσσώρευσης υγρασίας ή οργανικής ύλης. Η θερινή αγρανάπαυση συνηθίζεται σε περιοχές με περιορισμένη βροχόπτωση όπου καλλιεργούνται σιτηρά. Το έδαφος οργώνεται τουλάχιστον για μία καλλιεργητική περίοδο ώστε να περιοριστούν τα ζιζάνια και να αποσυντεθούν τα φυτικά υπολείμματα.</w:t>
            </w:r>
          </w:p>
        </w:tc>
        <w:tc>
          <w:tcPr>
            <w:tcW w:w="616" w:type="dxa"/>
          </w:tcPr>
          <w:p w14:paraId="5F81312F"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7B09CE93" w14:textId="77777777" w:rsidTr="2C6C7817">
        <w:tc>
          <w:tcPr>
            <w:tcW w:w="2062" w:type="dxa"/>
          </w:tcPr>
          <w:p w14:paraId="5675DAC9"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Γονιμοποίηση</w:t>
            </w:r>
          </w:p>
        </w:tc>
        <w:tc>
          <w:tcPr>
            <w:tcW w:w="1469" w:type="dxa"/>
          </w:tcPr>
          <w:p w14:paraId="02572CF6" w14:textId="77777777" w:rsidR="00F94540" w:rsidRPr="0076580C" w:rsidRDefault="00F94540" w:rsidP="00525540">
            <w:pPr>
              <w:jc w:val="both"/>
              <w:rPr>
                <w:rFonts w:ascii="Times New Roman" w:hAnsi="Times New Roman" w:cs="Times New Roman"/>
                <w:lang w:val="en-GB"/>
              </w:rPr>
            </w:pPr>
          </w:p>
        </w:tc>
        <w:tc>
          <w:tcPr>
            <w:tcW w:w="5615" w:type="dxa"/>
          </w:tcPr>
          <w:p w14:paraId="656487F8"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χρήση ορυκτών ή οργανικών ενώσεων για τη διατήρηση ή την αύξηση της γονιμότητας του εδάφους. Σε ορισμένες περιπτώσεις (π.χ. ασβέστωση), η γονιμοποίηση αποσκοπεί επίσης στη βελτίωση συγκεκριμένων ιδιοτήτων του εδάφους (pH, σταθερότητα της δομής του εδάφους).</w:t>
            </w:r>
          </w:p>
        </w:tc>
        <w:tc>
          <w:tcPr>
            <w:tcW w:w="616" w:type="dxa"/>
          </w:tcPr>
          <w:p w14:paraId="5CC1348C"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w:t>
            </w:r>
          </w:p>
        </w:tc>
      </w:tr>
      <w:tr w:rsidR="00F94540" w:rsidRPr="0076580C" w14:paraId="00E657CF" w14:textId="77777777" w:rsidTr="2C6C7817">
        <w:tc>
          <w:tcPr>
            <w:tcW w:w="2062" w:type="dxa"/>
          </w:tcPr>
          <w:p w14:paraId="4246D6F0"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Γονιμότητα εδάφους</w:t>
            </w:r>
          </w:p>
        </w:tc>
        <w:tc>
          <w:tcPr>
            <w:tcW w:w="1469" w:type="dxa"/>
          </w:tcPr>
          <w:p w14:paraId="32B080A4" w14:textId="77777777" w:rsidR="00F94540" w:rsidRPr="0076580C" w:rsidRDefault="00F94540" w:rsidP="00525540">
            <w:pPr>
              <w:jc w:val="both"/>
              <w:rPr>
                <w:rFonts w:ascii="Times New Roman" w:hAnsi="Times New Roman" w:cs="Times New Roman"/>
                <w:lang w:val="en-GB"/>
              </w:rPr>
            </w:pPr>
          </w:p>
        </w:tc>
        <w:tc>
          <w:tcPr>
            <w:tcW w:w="5615" w:type="dxa"/>
          </w:tcPr>
          <w:p w14:paraId="3843EA0C"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ικανότητα του εδάφους να παρέχει απαραίτητες θρεπτικές ουσίες και νερό σε επαρκείς ποσότητες και αναλογίες για την ανάπτυξη και αναπαραγωγή των φυτών. Χαρακτηρίζεται από τις χημικές, φυσικές και βιολογικές ιδιότητες που καθιστούν το έδαφος ευνοϊκό οικότοπο για την ανάπτυξη των φυτών.</w:t>
            </w:r>
          </w:p>
        </w:tc>
        <w:tc>
          <w:tcPr>
            <w:tcW w:w="616" w:type="dxa"/>
          </w:tcPr>
          <w:p w14:paraId="2076995D"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2, 4</w:t>
            </w:r>
          </w:p>
        </w:tc>
      </w:tr>
      <w:tr w:rsidR="00F94540" w:rsidRPr="0076580C" w14:paraId="4BE7F248" w14:textId="77777777" w:rsidTr="2C6C7817">
        <w:tc>
          <w:tcPr>
            <w:tcW w:w="2062" w:type="dxa"/>
          </w:tcPr>
          <w:p w14:paraId="1FC35D91"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Διάβρωση εδάφους</w:t>
            </w:r>
          </w:p>
        </w:tc>
        <w:tc>
          <w:tcPr>
            <w:tcW w:w="1469" w:type="dxa"/>
          </w:tcPr>
          <w:p w14:paraId="24E95474" w14:textId="77777777" w:rsidR="00F94540" w:rsidRPr="0076580C" w:rsidRDefault="00F94540" w:rsidP="002A67F8">
            <w:pPr>
              <w:jc w:val="both"/>
              <w:rPr>
                <w:rFonts w:ascii="Times New Roman" w:hAnsi="Times New Roman" w:cs="Times New Roman"/>
                <w:lang w:val="en-GB"/>
              </w:rPr>
            </w:pPr>
          </w:p>
        </w:tc>
        <w:tc>
          <w:tcPr>
            <w:tcW w:w="5615" w:type="dxa"/>
          </w:tcPr>
          <w:p w14:paraId="26599DC7" w14:textId="77777777" w:rsidR="00F94540" w:rsidRPr="0076580C" w:rsidRDefault="00F94540" w:rsidP="00E03E8D">
            <w:pPr>
              <w:jc w:val="both"/>
              <w:rPr>
                <w:rFonts w:ascii="Times New Roman" w:hAnsi="Times New Roman" w:cs="Times New Roman"/>
                <w:lang w:val="el-GR"/>
              </w:rPr>
            </w:pPr>
            <w:bookmarkStart w:id="1" w:name="_Hlk187700130"/>
            <w:r w:rsidRPr="0076580C">
              <w:rPr>
                <w:rFonts w:ascii="Times New Roman" w:hAnsi="Times New Roman" w:cs="Times New Roman"/>
                <w:lang w:val="el"/>
              </w:rPr>
              <w:t xml:space="preserve">Διάβρωση είναι η αφαίρεση γης ή εδάφους μέσω μίας ή περισσότερων διεργασιών. Οι βασικές αιτίες της διάβρωσης είναι: η δράση του νερού (σχηματισμός και εμβάθυνση αυλακιών, χαντάκια, λιώσιμο του χιονιού, και διάβρωση σε όχθες ποταμών και λιμνών), η δράση του αέρα (αποξήρανση και απομάκρυνση από τον άνεμο), η μετατόπιση (όργωμα, </w:t>
            </w:r>
            <w:r w:rsidRPr="0076580C">
              <w:rPr>
                <w:rFonts w:ascii="Times New Roman" w:hAnsi="Times New Roman" w:cs="Times New Roman"/>
                <w:lang w:val="el"/>
              </w:rPr>
              <w:lastRenderedPageBreak/>
              <w:t xml:space="preserve">ισοπέδωση εδάφους, συγκομιδή ριζωματωδών φυτών, ζώα που ποδοπατούν ή σκάβουν το έδαφος) και γεωλογικές διεργασίες (εσωτερική, υπόγεια διάβρωση από υπόγεια ύδατα, διάβρωση των ακτών και κατολισθήσεις). Η διάβρωση μπορεί επίσης να αυξηθεί λόγω ανεπαρκούς διαχείρισης γης, για παράδειγμα μέσω της υπερβόσκησης, της αποψίλωσης ή της ακατάλληλης χρήσης μηχανολογικού εξοπλισμού (π.χ. όργωμα σε κατηφορικό έδαφος). </w:t>
            </w:r>
          </w:p>
          <w:bookmarkEnd w:id="1"/>
          <w:p w14:paraId="57069CE4" w14:textId="77777777" w:rsidR="00F94540" w:rsidRPr="0076580C" w:rsidRDefault="00F94540" w:rsidP="00E03E8D">
            <w:pPr>
              <w:jc w:val="both"/>
              <w:rPr>
                <w:rFonts w:ascii="Times New Roman" w:hAnsi="Times New Roman" w:cs="Times New Roman"/>
                <w:lang w:val="el-GR"/>
              </w:rPr>
            </w:pPr>
            <w:r w:rsidRPr="0076580C">
              <w:rPr>
                <w:rFonts w:ascii="Times New Roman" w:hAnsi="Times New Roman" w:cs="Times New Roman"/>
                <w:lang w:val="el"/>
              </w:rPr>
              <w:t xml:space="preserve">Παράδειγμα αλληλουχίας διάβρωσης του εδάφους σύμφωνα με τους </w:t>
            </w:r>
            <w:r w:rsidRPr="0076580C">
              <w:rPr>
                <w:rFonts w:ascii="Times New Roman" w:hAnsi="Times New Roman" w:cs="Times New Roman"/>
                <w:color w:val="000000" w:themeColor="text1"/>
                <w:lang w:val="el"/>
              </w:rPr>
              <w:t xml:space="preserve">Radziuk και Świtoniak (2022; </w:t>
            </w:r>
            <w:r w:rsidRPr="0076580C">
              <w:rPr>
                <w:rFonts w:ascii="Times New Roman" w:hAnsi="Times New Roman" w:cs="Times New Roman"/>
                <w:lang w:val="el"/>
              </w:rPr>
              <w:t>6).</w:t>
            </w:r>
          </w:p>
          <w:p w14:paraId="33BDC4DD" w14:textId="77777777" w:rsidR="00F94540" w:rsidRPr="0076580C" w:rsidRDefault="00F94540" w:rsidP="00E03E8D">
            <w:pPr>
              <w:jc w:val="both"/>
              <w:rPr>
                <w:rFonts w:ascii="Times New Roman" w:hAnsi="Times New Roman" w:cs="Times New Roman"/>
                <w:lang w:val="el-GR"/>
              </w:rPr>
            </w:pPr>
          </w:p>
          <w:p w14:paraId="12360EFB" w14:textId="77777777" w:rsidR="00F94540" w:rsidRPr="0076580C" w:rsidRDefault="00F94540" w:rsidP="002A67F8">
            <w:pPr>
              <w:jc w:val="both"/>
              <w:rPr>
                <w:rFonts w:ascii="Times New Roman" w:hAnsi="Times New Roman" w:cs="Times New Roman"/>
                <w:lang w:val="en-GB"/>
              </w:rPr>
            </w:pPr>
            <w:r w:rsidRPr="0076580C">
              <w:rPr>
                <w:rFonts w:ascii="Times New Roman" w:hAnsi="Times New Roman" w:cs="Times New Roman"/>
                <w:noProof/>
                <w:lang w:val="el"/>
              </w:rPr>
              <w:drawing>
                <wp:inline distT="0" distB="0" distL="0" distR="0" wp14:anchorId="1EB2CAAD" wp14:editId="4C1605B2">
                  <wp:extent cx="3393110" cy="3214756"/>
                  <wp:effectExtent l="0" t="0" r="0" b="0"/>
                  <wp:docPr id="9737185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1980" cy="3223160"/>
                          </a:xfrm>
                          <a:prstGeom prst="rect">
                            <a:avLst/>
                          </a:prstGeom>
                        </pic:spPr>
                      </pic:pic>
                    </a:graphicData>
                  </a:graphic>
                </wp:inline>
              </w:drawing>
            </w:r>
          </w:p>
          <w:p w14:paraId="3EE96B9B" w14:textId="77777777" w:rsidR="00F94540" w:rsidRPr="0076580C" w:rsidRDefault="00F94540" w:rsidP="002A67F8">
            <w:pPr>
              <w:jc w:val="both"/>
              <w:rPr>
                <w:rStyle w:val="Hyperlink"/>
                <w:rFonts w:ascii="Times New Roman" w:hAnsi="Times New Roman" w:cs="Times New Roman"/>
                <w:color w:val="000000" w:themeColor="text1"/>
                <w:u w:val="none"/>
                <w:lang w:val="en-GB"/>
              </w:rPr>
            </w:pPr>
            <w:r w:rsidRPr="0076580C">
              <w:rPr>
                <w:rFonts w:ascii="Times New Roman" w:hAnsi="Times New Roman" w:cs="Times New Roman"/>
                <w:lang w:val="el"/>
              </w:rPr>
              <w:t>Πηγή</w:t>
            </w:r>
            <w:r w:rsidRPr="0076580C">
              <w:rPr>
                <w:rFonts w:ascii="Times New Roman" w:hAnsi="Times New Roman" w:cs="Times New Roman"/>
                <w:lang w:val="en-GB"/>
              </w:rPr>
              <w:t>:</w:t>
            </w:r>
            <w:r w:rsidRPr="0076580C">
              <w:rPr>
                <w:rFonts w:ascii="Times New Roman" w:hAnsi="Times New Roman" w:cs="Times New Roman"/>
                <w:color w:val="000000" w:themeColor="text1"/>
                <w:lang w:val="en-GB"/>
              </w:rPr>
              <w:t xml:space="preserve"> </w:t>
            </w:r>
            <w:proofErr w:type="spellStart"/>
            <w:r w:rsidRPr="0076580C">
              <w:rPr>
                <w:rFonts w:ascii="Times New Roman" w:hAnsi="Times New Roman" w:cs="Times New Roman"/>
                <w:color w:val="000000" w:themeColor="text1"/>
                <w:lang w:val="en-GB"/>
              </w:rPr>
              <w:t>Radziuk</w:t>
            </w:r>
            <w:proofErr w:type="spellEnd"/>
            <w:r w:rsidRPr="0076580C">
              <w:rPr>
                <w:rFonts w:ascii="Times New Roman" w:hAnsi="Times New Roman" w:cs="Times New Roman"/>
                <w:color w:val="000000" w:themeColor="text1"/>
                <w:lang w:val="en-GB"/>
              </w:rPr>
              <w:t xml:space="preserve"> and </w:t>
            </w:r>
            <w:proofErr w:type="spellStart"/>
            <w:r w:rsidRPr="0076580C">
              <w:rPr>
                <w:rFonts w:ascii="Times New Roman" w:hAnsi="Times New Roman" w:cs="Times New Roman"/>
                <w:color w:val="000000" w:themeColor="text1"/>
                <w:lang w:val="en-GB"/>
              </w:rPr>
              <w:t>Świtoniak</w:t>
            </w:r>
            <w:proofErr w:type="spellEnd"/>
            <w:r w:rsidRPr="0076580C">
              <w:rPr>
                <w:rFonts w:ascii="Times New Roman" w:hAnsi="Times New Roman" w:cs="Times New Roman"/>
                <w:color w:val="000000" w:themeColor="text1"/>
                <w:lang w:val="en-GB"/>
              </w:rPr>
              <w:t xml:space="preserve">. 2022. Agronomy (MDPI), </w:t>
            </w:r>
            <w:r>
              <w:fldChar w:fldCharType="begin"/>
            </w:r>
            <w:r w:rsidRPr="00F94540">
              <w:rPr>
                <w:lang w:val="en-GB"/>
              </w:rPr>
              <w:instrText>HYPERLINK "https://doi.org/10.3390/agronomy12112595"</w:instrText>
            </w:r>
            <w:r>
              <w:fldChar w:fldCharType="separate"/>
            </w:r>
            <w:r w:rsidRPr="0076580C">
              <w:rPr>
                <w:rStyle w:val="Hyperlink"/>
                <w:rFonts w:ascii="Times New Roman" w:hAnsi="Times New Roman" w:cs="Times New Roman"/>
                <w:color w:val="000000" w:themeColor="text1"/>
                <w:u w:val="none"/>
                <w:lang w:val="en-GB"/>
              </w:rPr>
              <w:t>https://doi.org/10.3390/agronomy12112595</w:t>
            </w:r>
            <w:r>
              <w:fldChar w:fldCharType="end"/>
            </w:r>
          </w:p>
          <w:p w14:paraId="1BD1EA89" w14:textId="77777777" w:rsidR="00F94540" w:rsidRPr="0076580C" w:rsidRDefault="00F94540" w:rsidP="002A67F8">
            <w:pPr>
              <w:jc w:val="both"/>
              <w:rPr>
                <w:rFonts w:ascii="Times New Roman" w:hAnsi="Times New Roman" w:cs="Times New Roman"/>
                <w:lang w:val="en-GB"/>
              </w:rPr>
            </w:pPr>
          </w:p>
        </w:tc>
        <w:tc>
          <w:tcPr>
            <w:tcW w:w="616" w:type="dxa"/>
          </w:tcPr>
          <w:p w14:paraId="5F1F3959"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13,6</w:t>
            </w:r>
          </w:p>
        </w:tc>
      </w:tr>
      <w:tr w:rsidR="00F94540" w:rsidRPr="0076580C" w14:paraId="42B78493" w14:textId="77777777" w:rsidTr="2C6C7817">
        <w:tc>
          <w:tcPr>
            <w:tcW w:w="2062" w:type="dxa"/>
          </w:tcPr>
          <w:p w14:paraId="1C46A407"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Διαχείριση του εδαφικού άνθρακα</w:t>
            </w:r>
          </w:p>
        </w:tc>
        <w:tc>
          <w:tcPr>
            <w:tcW w:w="1469" w:type="dxa"/>
          </w:tcPr>
          <w:p w14:paraId="5D0F5B49" w14:textId="77777777" w:rsidR="00F94540" w:rsidRPr="0076580C" w:rsidRDefault="00F94540" w:rsidP="002A67F8">
            <w:pPr>
              <w:jc w:val="both"/>
              <w:rPr>
                <w:rFonts w:ascii="Times New Roman" w:hAnsi="Times New Roman" w:cs="Times New Roman"/>
                <w:lang w:val="en-GB"/>
              </w:rPr>
            </w:pPr>
          </w:p>
        </w:tc>
        <w:tc>
          <w:tcPr>
            <w:tcW w:w="5615" w:type="dxa"/>
          </w:tcPr>
          <w:p w14:paraId="312DE8F2" w14:textId="77777777" w:rsidR="00F94540" w:rsidRPr="0076580C" w:rsidRDefault="00F94540" w:rsidP="006A5BAB">
            <w:pPr>
              <w:jc w:val="both"/>
              <w:rPr>
                <w:rFonts w:ascii="Times New Roman" w:hAnsi="Times New Roman" w:cs="Times New Roman"/>
                <w:lang w:val="el-GR"/>
              </w:rPr>
            </w:pPr>
            <w:r w:rsidRPr="0076580C" w:rsidDel="006A5BAB">
              <w:rPr>
                <w:rFonts w:ascii="Times New Roman" w:hAnsi="Times New Roman" w:cs="Times New Roman"/>
                <w:lang w:val="el"/>
              </w:rPr>
              <w:t xml:space="preserve"> Οι πρακτικές και στρατηγικές που στοχεύουν στη διατήρηση ή την αύξηση της ποσότητας του άνθρακα που αποθηκεύεται στο έδαφος, κυρίως με τη μορφή οργανικής ύλης. Η διεργασία αυτή είναι ιδιαίτερης σημασίας για τη βελτίωση της υγείας του εδάφους, την ενίσχυση της γεωργικής παραγωγικότητας, και τον μετριασμό της κλιματικής αλλαγής μέσω της δέσμευσης του διοξειδίου του άνθρακα (CO₂) της ατμόσφαιρας. Η διαχείριση του εδαφικού άνθρακα ενισχύει τη γονιμότητα του εδάφους, την κατακράτηση νερού και τη βιοποικιλότητα, και συμβάλλει στον μετριασμό της κλιματικής αλλαγής μέσω της δέσμευσης και της αποθήκευσης του CO₂, ενώ παίζει ζωτικό ρόλο και στη βιώσιμη γεωργία και την ανθεκτικότητα των οικοσυστημάτων.</w:t>
            </w:r>
          </w:p>
          <w:p w14:paraId="494E5532" w14:textId="77777777" w:rsidR="00F94540" w:rsidRPr="0076580C" w:rsidRDefault="00F94540" w:rsidP="006A5BAB">
            <w:pPr>
              <w:jc w:val="both"/>
              <w:rPr>
                <w:rFonts w:ascii="Times New Roman" w:hAnsi="Times New Roman" w:cs="Times New Roman"/>
                <w:lang w:val="el-GR"/>
              </w:rPr>
            </w:pPr>
            <w:r w:rsidRPr="0076580C">
              <w:rPr>
                <w:rFonts w:ascii="Times New Roman" w:hAnsi="Times New Roman" w:cs="Times New Roman"/>
                <w:lang w:val="el"/>
              </w:rPr>
              <w:t>Βασικές πρακτικές της διαχείρισης του εδαφικού άνθρακα είναι το όργωμα διατήρησης, η εναλλαγή και διαφοροποίηση καλλιεργειών, οι καλλιέργειες εδαφοκάλυψης, η αγροδασοπονία και η αποκατάσταση των υποβαθμισμένων εδαφών.</w:t>
            </w:r>
          </w:p>
        </w:tc>
        <w:tc>
          <w:tcPr>
            <w:tcW w:w="616" w:type="dxa"/>
          </w:tcPr>
          <w:p w14:paraId="5D272B5D"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2, 40</w:t>
            </w:r>
          </w:p>
        </w:tc>
      </w:tr>
      <w:tr w:rsidR="00F94540" w:rsidRPr="0076580C" w14:paraId="0BBFAD2E" w14:textId="77777777" w:rsidTr="2C6C7817">
        <w:tc>
          <w:tcPr>
            <w:tcW w:w="2062" w:type="dxa"/>
          </w:tcPr>
          <w:p w14:paraId="1565C390" w14:textId="77777777" w:rsidR="00F94540" w:rsidRPr="0076580C" w:rsidRDefault="00F94540" w:rsidP="00A655ED">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Διεπιστημονικότητα</w:t>
            </w:r>
          </w:p>
        </w:tc>
        <w:tc>
          <w:tcPr>
            <w:tcW w:w="1469" w:type="dxa"/>
          </w:tcPr>
          <w:p w14:paraId="7C0C1BB6" w14:textId="77777777" w:rsidR="00F94540" w:rsidRPr="0076580C" w:rsidRDefault="00F94540" w:rsidP="00A655ED">
            <w:pPr>
              <w:jc w:val="both"/>
              <w:rPr>
                <w:rFonts w:ascii="Times New Roman" w:hAnsi="Times New Roman" w:cs="Times New Roman"/>
                <w:color w:val="3A7C22" w:themeColor="accent6" w:themeShade="BF"/>
                <w:lang w:val="en-GB"/>
              </w:rPr>
            </w:pPr>
          </w:p>
        </w:tc>
        <w:tc>
          <w:tcPr>
            <w:tcW w:w="5615" w:type="dxa"/>
          </w:tcPr>
          <w:p w14:paraId="7790225B"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 xml:space="preserve">Ενσωματώνει γνώση από διάφορους επιστημονικούς τομείς και μη ακαδημαϊκές πηγές με στόχο την αντιμετώπιση </w:t>
            </w:r>
            <w:r w:rsidRPr="0076580C">
              <w:rPr>
                <w:rFonts w:ascii="Times New Roman" w:hAnsi="Times New Roman" w:cs="Times New Roman"/>
                <w:lang w:val="el"/>
              </w:rPr>
              <w:lastRenderedPageBreak/>
              <w:t>περίπλοκων προβλημάτων, εστιάζοντας στη συνεργασία μεταξύ των διαφορετικών πεδίων. Ερευνητική προσέγγιση που ενσωματώνει γνώσεις από διαφορετικούς ακαδημαϊκούς τομείς και περιλαμβάνει συνεργασία με μη ακαδημαϊκούς εμπλεκόμενους, με σκοπό την αντιμετώπιση πολυσύνθετων κοινωνικών προκλήσεων.</w:t>
            </w:r>
            <w:r w:rsidRPr="0076580C">
              <w:rPr>
                <w:lang w:val="el"/>
              </w:rPr>
              <w:t xml:space="preserve"> </w:t>
            </w:r>
            <w:r w:rsidRPr="0076580C">
              <w:rPr>
                <w:rFonts w:ascii="Times New Roman" w:hAnsi="Times New Roman" w:cs="Times New Roman"/>
                <w:lang w:val="el"/>
              </w:rPr>
              <w:t>Δίνει έμφαση στην αλληλεπίδραση διαφόρων πεδίων και αποσκοπεί στη δημιουργία ολιστικών λύσεων μέσω του συνδυασμού διαφορετικών οπτικών και εξειδικευμένης γνώσης που πηγάζει από διάφορες επιστήμες. Ενέχει υψηλό επίπεδο ενσωμάτωσης, ενώ επιστήμες και εμπλεκόμενοι συνεργάζονται μεταξύ τους.</w:t>
            </w:r>
          </w:p>
        </w:tc>
        <w:tc>
          <w:tcPr>
            <w:tcW w:w="616" w:type="dxa"/>
          </w:tcPr>
          <w:p w14:paraId="6F82E608"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31, 36</w:t>
            </w:r>
          </w:p>
        </w:tc>
      </w:tr>
      <w:tr w:rsidR="00F94540" w:rsidRPr="0076580C" w14:paraId="54011E11" w14:textId="77777777" w:rsidTr="2C6C7817">
        <w:tc>
          <w:tcPr>
            <w:tcW w:w="2062" w:type="dxa"/>
          </w:tcPr>
          <w:p w14:paraId="53638352" w14:textId="77777777" w:rsidR="00F94540" w:rsidRPr="0076580C" w:rsidRDefault="00F94540" w:rsidP="00A655ED">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Εδαφικός γραμματισμός</w:t>
            </w:r>
          </w:p>
        </w:tc>
        <w:tc>
          <w:tcPr>
            <w:tcW w:w="1469" w:type="dxa"/>
          </w:tcPr>
          <w:p w14:paraId="2BB1B0D0" w14:textId="77777777" w:rsidR="00F94540" w:rsidRPr="0076580C" w:rsidRDefault="00F94540" w:rsidP="00A655ED">
            <w:pPr>
              <w:jc w:val="both"/>
              <w:rPr>
                <w:rFonts w:ascii="Times New Roman" w:hAnsi="Times New Roman" w:cs="Times New Roman"/>
                <w:lang w:val="en-GB"/>
              </w:rPr>
            </w:pPr>
          </w:p>
        </w:tc>
        <w:tc>
          <w:tcPr>
            <w:tcW w:w="5615" w:type="dxa"/>
          </w:tcPr>
          <w:p w14:paraId="5AD8F51A"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 xml:space="preserve">Εδαφικός γραμματισμός είναι η κατανόηση και η γνώση του ρόλου του εδάφους στα οικοσυστήματα, τη γεωργία και την περιβαλλοντική υγεία. Περιλαμβάνει την επίγνωση της σύστασης του εδάφους, των λειτουργιών του και των πρακτικών διαχείρισης που προάγουν τη βιώσιμη χρήση της γης. </w:t>
            </w:r>
          </w:p>
          <w:p w14:paraId="503FC29B"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Οι βασικές πτυχές του εδαφικού γραμματισμού είναι:</w:t>
            </w:r>
          </w:p>
          <w:p w14:paraId="39199E2F"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b/>
                <w:lang w:val="el"/>
              </w:rPr>
              <w:t>Η κατανόηση της σημασίας της σύστασης του εδάφους</w:t>
            </w:r>
            <w:r w:rsidRPr="0076580C">
              <w:rPr>
                <w:rFonts w:ascii="Times New Roman" w:hAnsi="Times New Roman" w:cs="Times New Roman"/>
                <w:lang w:val="el"/>
              </w:rPr>
              <w:t>: Γνώση των φυσικών και χημικών ιδιοτήτων του εδάφους, μεταξύ άλλων της ορυκτολογικής του σύστασης, της περιεκτικότητάς του σε οργανική ύλη και των επιπέδων υγρασίας.</w:t>
            </w:r>
          </w:p>
          <w:p w14:paraId="26D63DCD"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b/>
                <w:bCs/>
                <w:lang w:val="el"/>
              </w:rPr>
              <w:t>Λειτουργίες του εδάφους</w:t>
            </w:r>
            <w:r w:rsidRPr="0076580C">
              <w:rPr>
                <w:rFonts w:ascii="Times New Roman" w:hAnsi="Times New Roman" w:cs="Times New Roman"/>
                <w:lang w:val="el"/>
              </w:rPr>
              <w:t>: Επίγνωση των διάφορων ρόλων του εδάφους, όπως η υποστήριξη της ανάπτυξης των φυτών, η ρύθμιση του κύκλου του νερού, η αποθήκευση του άνθρακα και η παροχή οικοτόπων για τους οργανισμούς.</w:t>
            </w:r>
          </w:p>
          <w:p w14:paraId="040DBB51"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b/>
                <w:lang w:val="el"/>
              </w:rPr>
              <w:t>Πρακτικές διαχείρισης του εδάφους</w:t>
            </w:r>
            <w:r w:rsidRPr="0076580C">
              <w:rPr>
                <w:rFonts w:ascii="Times New Roman" w:hAnsi="Times New Roman" w:cs="Times New Roman"/>
                <w:lang w:val="el"/>
              </w:rPr>
              <w:t>: Γνώση των βιώσιμων πρακτικών βελτίωσης της υγείας του εδάφους, όπως η εναλλαγή καλλιεργειών, οι καλλιέργειες εδαφοκάλυψης, το μειωμένο όργωμα και η χρήση οργανικών βελτιωτικών.</w:t>
            </w:r>
          </w:p>
          <w:p w14:paraId="1DD7BDBD"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b/>
                <w:lang w:val="el"/>
              </w:rPr>
              <w:t>Επίδραση στα οικοσυστήματα</w:t>
            </w:r>
            <w:r w:rsidRPr="0076580C">
              <w:rPr>
                <w:rFonts w:ascii="Times New Roman" w:hAnsi="Times New Roman" w:cs="Times New Roman"/>
                <w:lang w:val="el"/>
              </w:rPr>
              <w:t>: Αναγνώριση της επίδρασης της υγείας του εδάφους σε ευρύτερα περιβαλλοντικά θέματα όπως η βιοποικιλότητα, η κλιματική αλλαγή και η ποιότητα του νερού.</w:t>
            </w:r>
          </w:p>
          <w:p w14:paraId="7896AEAF"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b/>
                <w:lang w:val="el"/>
              </w:rPr>
              <w:t>Συμμετοχή της κοινότητας</w:t>
            </w:r>
            <w:r w:rsidRPr="0076580C">
              <w:rPr>
                <w:rFonts w:ascii="Times New Roman" w:hAnsi="Times New Roman" w:cs="Times New Roman"/>
                <w:lang w:val="el"/>
              </w:rPr>
              <w:t>: Ενθάρρυνση των τοπικών κοινοτήτων να εμπλέκονται με θέματα που αφορούν το έδαφος μέσω της εκπαίδευσης και συμμετοχικών πρακτικών.</w:t>
            </w:r>
          </w:p>
          <w:p w14:paraId="47B8642A"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Ο εδαφικός γραμματισμός κρίνεται ιδιαίτερα σημαντικός για την προαγωγή βιώσιμων γεωργικών πρακτικών και την προώθηση της περιβαλλοντικής διαχείρισης. Δίνει τη δυνατότητα στα άτομα και τις κοινότητες να λαμβάνουν εμπεριστατωμένες αποφάσεις σχετικά με τη χρήση της γης και τις προσπάθειες προστασίας του περιβάλλοντος.</w:t>
            </w:r>
          </w:p>
        </w:tc>
        <w:tc>
          <w:tcPr>
            <w:tcW w:w="616" w:type="dxa"/>
          </w:tcPr>
          <w:p w14:paraId="07E76B04"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23, Loess</w:t>
            </w:r>
          </w:p>
        </w:tc>
      </w:tr>
      <w:tr w:rsidR="00F94540" w:rsidRPr="0076580C" w14:paraId="76920EA5" w14:textId="77777777" w:rsidTr="2C6C7817">
        <w:tc>
          <w:tcPr>
            <w:tcW w:w="2062" w:type="dxa"/>
          </w:tcPr>
          <w:p w14:paraId="49EB530F" w14:textId="77777777" w:rsidR="00F94540" w:rsidRPr="0076580C" w:rsidRDefault="00F94540" w:rsidP="00A655ED">
            <w:pPr>
              <w:rPr>
                <w:rFonts w:ascii="Times New Roman" w:hAnsi="Times New Roman" w:cs="Times New Roman"/>
                <w:b/>
                <w:color w:val="BF4E14" w:themeColor="accent2" w:themeShade="BF"/>
                <w:lang w:val="en-GB"/>
              </w:rPr>
            </w:pPr>
            <w:r w:rsidRPr="0076580C">
              <w:rPr>
                <w:rFonts w:ascii="Times New Roman" w:hAnsi="Times New Roman" w:cs="Times New Roman"/>
                <w:b/>
                <w:color w:val="3A7C22" w:themeColor="accent6" w:themeShade="BF"/>
                <w:lang w:val="el"/>
              </w:rPr>
              <w:t>Εδαφικός ορίζοντας</w:t>
            </w:r>
          </w:p>
        </w:tc>
        <w:tc>
          <w:tcPr>
            <w:tcW w:w="1469" w:type="dxa"/>
          </w:tcPr>
          <w:p w14:paraId="63DE3AF7" w14:textId="77777777" w:rsidR="00F94540" w:rsidRPr="0076580C" w:rsidRDefault="00F94540" w:rsidP="00A655ED">
            <w:pPr>
              <w:jc w:val="both"/>
              <w:rPr>
                <w:rFonts w:ascii="Times New Roman" w:hAnsi="Times New Roman" w:cs="Times New Roman"/>
                <w:lang w:val="en-GB"/>
              </w:rPr>
            </w:pPr>
          </w:p>
        </w:tc>
        <w:tc>
          <w:tcPr>
            <w:tcW w:w="5615" w:type="dxa"/>
          </w:tcPr>
          <w:p w14:paraId="5F8911BC"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Μία από τις στρώσεις που σχηματίζονται στο εδαφικό προφίλ μέσω διεργασιών σχηματισμού του εδάφους. Ένας ορίζοντας μπορεί να εμφανίζεται ως μία ξεκάθαρη, ορατή στρώση, αν και τις περισσότερες φορές τα όρια μεταξύ των οριζόντων δεν είναι τόσο σαφή. Σε εδάφη κήπων, και όπου έχει υπάρξει έντονη κινητικότητα εδαφών, οι στρώσεις αυτές ενδέχεται να απουσιάζουν ή να είναι δυσκολότερο να παρατηρηθούν.</w:t>
            </w:r>
          </w:p>
        </w:tc>
        <w:tc>
          <w:tcPr>
            <w:tcW w:w="616" w:type="dxa"/>
          </w:tcPr>
          <w:p w14:paraId="287A4ABD"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13</w:t>
            </w:r>
          </w:p>
        </w:tc>
      </w:tr>
      <w:tr w:rsidR="00F94540" w:rsidRPr="0076580C" w14:paraId="510BA70F" w14:textId="77777777" w:rsidTr="2C6C7817">
        <w:tc>
          <w:tcPr>
            <w:tcW w:w="2062" w:type="dxa"/>
          </w:tcPr>
          <w:p w14:paraId="5C48D5E9" w14:textId="77777777" w:rsidR="00F94540" w:rsidRPr="0076580C" w:rsidRDefault="00F94540" w:rsidP="00A655ED">
            <w:pPr>
              <w:rPr>
                <w:rFonts w:ascii="Times New Roman" w:hAnsi="Times New Roman" w:cs="Times New Roman"/>
                <w:b/>
                <w:color w:val="BF4E14" w:themeColor="accent2" w:themeShade="BF"/>
                <w:lang w:val="en-GB"/>
              </w:rPr>
            </w:pPr>
            <w:r w:rsidRPr="0076580C">
              <w:rPr>
                <w:rFonts w:ascii="Times New Roman" w:hAnsi="Times New Roman" w:cs="Times New Roman"/>
                <w:b/>
                <w:color w:val="3A7C22" w:themeColor="accent6" w:themeShade="BF"/>
                <w:lang w:val="el"/>
              </w:rPr>
              <w:t>Εδαφογένεση</w:t>
            </w:r>
          </w:p>
        </w:tc>
        <w:tc>
          <w:tcPr>
            <w:tcW w:w="1469" w:type="dxa"/>
          </w:tcPr>
          <w:p w14:paraId="71434327" w14:textId="77777777" w:rsidR="00F94540" w:rsidRPr="0076580C" w:rsidRDefault="00F94540" w:rsidP="00A655ED">
            <w:pPr>
              <w:jc w:val="both"/>
              <w:rPr>
                <w:rFonts w:ascii="Times New Roman" w:hAnsi="Times New Roman" w:cs="Times New Roman"/>
                <w:lang w:val="en-GB"/>
              </w:rPr>
            </w:pPr>
          </w:p>
        </w:tc>
        <w:tc>
          <w:tcPr>
            <w:tcW w:w="5615" w:type="dxa"/>
          </w:tcPr>
          <w:p w14:paraId="3C742482"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 xml:space="preserve">Η διαδικασία μετατροπής βραχώδους υλικού σε εδαφικό προφίλ. Τα εδάφη σχηματίζονται λόγω της επίδρασης των βασικών στοιχείων του φυσικού περιβάλλοντος, δηλαδή των υλικών βάσης, του ανάγλυφου, του κλίματος, των ζώντων </w:t>
            </w:r>
            <w:r w:rsidRPr="0076580C">
              <w:rPr>
                <w:rFonts w:ascii="Times New Roman" w:hAnsi="Times New Roman" w:cs="Times New Roman"/>
                <w:lang w:val="el"/>
              </w:rPr>
              <w:lastRenderedPageBreak/>
              <w:t>οργανισμών και του χρόνου (Dokuchaev, 1883), αλλά και της ανθρώπινης δραστηριότητας. Αυτές οι παράμετροι σχηματισμού των εδαφών δρουν ταυτόχρονα, και η μορφολογία αλλά και οι ιδιότητες των επιμέρους εδαφών εξαρτώνται από την κατανομή των παραμέτρων στον χώρο.</w:t>
            </w:r>
          </w:p>
        </w:tc>
        <w:tc>
          <w:tcPr>
            <w:tcW w:w="616" w:type="dxa"/>
          </w:tcPr>
          <w:p w14:paraId="4EA95416"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15</w:t>
            </w:r>
          </w:p>
        </w:tc>
      </w:tr>
      <w:tr w:rsidR="00F94540" w:rsidRPr="0076580C" w14:paraId="02DF06A8" w14:textId="77777777" w:rsidTr="2C6C7817">
        <w:tc>
          <w:tcPr>
            <w:tcW w:w="2062" w:type="dxa"/>
          </w:tcPr>
          <w:p w14:paraId="4714C6D6"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Έδαφον</w:t>
            </w:r>
          </w:p>
        </w:tc>
        <w:tc>
          <w:tcPr>
            <w:tcW w:w="1469" w:type="dxa"/>
          </w:tcPr>
          <w:p w14:paraId="031CD829" w14:textId="77777777" w:rsidR="00F94540" w:rsidRPr="0076580C" w:rsidRDefault="00F94540" w:rsidP="002A67F8">
            <w:pPr>
              <w:jc w:val="both"/>
              <w:rPr>
                <w:rFonts w:ascii="Times New Roman" w:hAnsi="Times New Roman" w:cs="Times New Roman"/>
                <w:lang w:val="en-GB"/>
              </w:rPr>
            </w:pPr>
          </w:p>
        </w:tc>
        <w:tc>
          <w:tcPr>
            <w:tcW w:w="5615" w:type="dxa"/>
          </w:tcPr>
          <w:p w14:paraId="049D5D43"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Το σύνολο των οργανισμών που ζουν μέσα στο έδαφος (π.χ. βακτήρια, μύκητες, νηματώδη, γαιοσκώληκες, έντομα, πρωτόζωα).</w:t>
            </w:r>
          </w:p>
        </w:tc>
        <w:tc>
          <w:tcPr>
            <w:tcW w:w="616" w:type="dxa"/>
          </w:tcPr>
          <w:p w14:paraId="240F87F2"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w:t>
            </w:r>
          </w:p>
        </w:tc>
      </w:tr>
      <w:tr w:rsidR="00F94540" w:rsidRPr="0076580C" w14:paraId="2D649B4C" w14:textId="77777777" w:rsidTr="2C6C7817">
        <w:tc>
          <w:tcPr>
            <w:tcW w:w="2062" w:type="dxa"/>
          </w:tcPr>
          <w:p w14:paraId="410F04A7"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Έδαφος</w:t>
            </w:r>
          </w:p>
        </w:tc>
        <w:tc>
          <w:tcPr>
            <w:tcW w:w="1469" w:type="dxa"/>
          </w:tcPr>
          <w:p w14:paraId="783263E7" w14:textId="77777777" w:rsidR="00F94540" w:rsidRPr="0076580C" w:rsidRDefault="00F94540" w:rsidP="00525540">
            <w:pPr>
              <w:jc w:val="both"/>
              <w:rPr>
                <w:rFonts w:ascii="Times New Roman" w:hAnsi="Times New Roman" w:cs="Times New Roman"/>
                <w:lang w:val="en-GB"/>
              </w:rPr>
            </w:pPr>
          </w:p>
        </w:tc>
        <w:tc>
          <w:tcPr>
            <w:tcW w:w="5615" w:type="dxa"/>
          </w:tcPr>
          <w:p w14:paraId="402F9D4A"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Το βιολογικά ενεργό, πορώδες μέσο που έχει αναπτυχθεί στην ανώτερη στρώση του φλοιού της Γης και αποτελεί ένα από τα κυριότερα υποστρώματα ζωής στον πλανήτη. Το έδαφος είναι ένα περίπλοκο, δυναμικό και ζωντανό σύστημα που σχηματίζεται με την πάροδο του χρόνου μέσω της αλληλεπίδρασης φυσικών, χημικών και βιολογικών διεργασιών. Αποτελείται από ανόργανα σωματίδια διαφόρων μεγεθών, οργανική ύλη, νερό και αέρα· τα υλικά αυτά αλληλεπιδρούν μεταξύ τους και σχηματίζουν ένα πλέγμα που υποστηρίζει την ανάπτυξη των φυτών και αποτελεί τον οικότοπο των οργανισμών του εδάφους.</w:t>
            </w:r>
          </w:p>
        </w:tc>
        <w:tc>
          <w:tcPr>
            <w:tcW w:w="616" w:type="dxa"/>
          </w:tcPr>
          <w:p w14:paraId="7DB1E9D5"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2</w:t>
            </w:r>
          </w:p>
        </w:tc>
      </w:tr>
      <w:tr w:rsidR="00F94540" w:rsidRPr="0076580C" w14:paraId="564A494E" w14:textId="77777777" w:rsidTr="2C6C7817">
        <w:tc>
          <w:tcPr>
            <w:tcW w:w="2062" w:type="dxa"/>
          </w:tcPr>
          <w:p w14:paraId="07A68376"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Εκτατικοποίηση</w:t>
            </w:r>
          </w:p>
        </w:tc>
        <w:tc>
          <w:tcPr>
            <w:tcW w:w="1469" w:type="dxa"/>
          </w:tcPr>
          <w:p w14:paraId="1A0DF8F9" w14:textId="77777777" w:rsidR="00F94540" w:rsidRPr="0076580C" w:rsidRDefault="00F94540" w:rsidP="002A67F8">
            <w:pPr>
              <w:jc w:val="both"/>
              <w:rPr>
                <w:rFonts w:ascii="Times New Roman" w:hAnsi="Times New Roman" w:cs="Times New Roman"/>
                <w:lang w:val="en-GB"/>
              </w:rPr>
            </w:pPr>
          </w:p>
        </w:tc>
        <w:tc>
          <w:tcPr>
            <w:tcW w:w="5615" w:type="dxa"/>
          </w:tcPr>
          <w:p w14:paraId="2515174A" w14:textId="77777777" w:rsidR="00F94540" w:rsidRPr="00F94540" w:rsidRDefault="00F94540" w:rsidP="002A67F8">
            <w:pPr>
              <w:jc w:val="both"/>
              <w:rPr>
                <w:rFonts w:ascii="Times New Roman" w:hAnsi="Times New Roman" w:cs="Times New Roman"/>
                <w:lang w:val="el-GR"/>
              </w:rPr>
            </w:pPr>
            <w:r w:rsidRPr="0076580C">
              <w:rPr>
                <w:rFonts w:ascii="Times New Roman" w:hAnsi="Times New Roman" w:cs="Times New Roman"/>
                <w:lang w:val="el"/>
              </w:rPr>
              <w:t>Η διεργασία μείωσης της χρήσης κεφαλαίου και εισροών (π.χ. λιπάσματα, παρασιτοκτόνα, μηχανικός εξοπλισμός, ενέργεια) σε σχέση με μια συγκεκριμένη έκταση. Η μείωση των εισροών ανά έκταση γης βοηθά ενδεχομένως την αντίστοιχη μείωση της πίεσης που ασκείται στο περιβάλλον. Μπορεί, λόγου χάριν, μία μείωση των παρασιτοκτόνων που χρησιμοποιούνται να συνεπάγεται μείωση του κινδύνου απορροής τους στα επιφανειακά και τα υπόγεια ύδατα («απώλεια ανά μονάδα επιφανείας»). Ωστόσο, η πραγματική επίδραση μίας μείωσης της χρήσης εισροών στο περιβάλλον δεν εξαρτάται μόνο από την ποσότητα των εισροών που χρησιμοποιούνται, αλλά και από τον τρόπο που εφαρμόζονται και τον βαθμό στον οποίο οι μειωμένες εισροές οδηγούν σε μείωση της παραγωγής («απώλεια ανά μονάδα προϊόντος»). Συνεπώς, η εκτατικοποίηση δεν οδηγεί απαραίτητα σε συνθήκες φιλικότερες για το περιβάλλον.</w:t>
            </w:r>
          </w:p>
        </w:tc>
        <w:tc>
          <w:tcPr>
            <w:tcW w:w="616" w:type="dxa"/>
          </w:tcPr>
          <w:p w14:paraId="352B3984"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6744C1AB" w14:textId="77777777" w:rsidTr="2C6C7817">
        <w:tc>
          <w:tcPr>
            <w:tcW w:w="2062" w:type="dxa"/>
          </w:tcPr>
          <w:p w14:paraId="7AEB12B1"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Ελεγχόμενη κυκλοφορία</w:t>
            </w:r>
          </w:p>
        </w:tc>
        <w:tc>
          <w:tcPr>
            <w:tcW w:w="1469" w:type="dxa"/>
          </w:tcPr>
          <w:p w14:paraId="27391CF1" w14:textId="77777777" w:rsidR="00F94540" w:rsidRPr="0076580C" w:rsidRDefault="00F94540" w:rsidP="002A67F8">
            <w:pPr>
              <w:jc w:val="both"/>
              <w:rPr>
                <w:rFonts w:ascii="Times New Roman" w:hAnsi="Times New Roman" w:cs="Times New Roman"/>
                <w:lang w:val="en-GB"/>
              </w:rPr>
            </w:pPr>
          </w:p>
        </w:tc>
        <w:tc>
          <w:tcPr>
            <w:tcW w:w="5615" w:type="dxa"/>
          </w:tcPr>
          <w:p w14:paraId="55182124"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Η χρήση των ίδιων λωρίδων κυκλοφορίας για εξοπλισμό διαφόρων χρήσεων εντός του έτους, αλλά και από χρόνο σε χρόνο, συνήθως με την υποστήριξη δορυφορικών συστημάτων πλοήγησης, με σκοπό τη μείωση της συμπίεσης του εδάφους.</w:t>
            </w:r>
          </w:p>
        </w:tc>
        <w:tc>
          <w:tcPr>
            <w:tcW w:w="616" w:type="dxa"/>
          </w:tcPr>
          <w:p w14:paraId="19BC48E2"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3200ACEB" w14:textId="77777777" w:rsidTr="2C6C7817">
        <w:tc>
          <w:tcPr>
            <w:tcW w:w="2062" w:type="dxa"/>
          </w:tcPr>
          <w:p w14:paraId="53C6A678"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Εντατικοποίηση</w:t>
            </w:r>
          </w:p>
        </w:tc>
        <w:tc>
          <w:tcPr>
            <w:tcW w:w="1469" w:type="dxa"/>
          </w:tcPr>
          <w:p w14:paraId="06ED3246" w14:textId="77777777" w:rsidR="00F94540" w:rsidRPr="0076580C" w:rsidRDefault="00F94540" w:rsidP="00525540">
            <w:pPr>
              <w:jc w:val="both"/>
              <w:rPr>
                <w:rFonts w:ascii="Times New Roman" w:hAnsi="Times New Roman" w:cs="Times New Roman"/>
                <w:lang w:val="en-GB"/>
              </w:rPr>
            </w:pPr>
          </w:p>
        </w:tc>
        <w:tc>
          <w:tcPr>
            <w:tcW w:w="5615" w:type="dxa"/>
          </w:tcPr>
          <w:p w14:paraId="54AE5163"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 xml:space="preserve">Η διεργασία αύξησης της χρήσης των εισροών (εργασία, πληροφορίες, ενέργεια, λιπάσματα, παρασιτοκτόνα, μηχανικός εξοπλισμός) σε σχέση με μια συγκεκριμένη έκταση, με σκοπό την αύξηση της γεωργικής παραγωγής ανά μονάδα επιφανείας. Η εντατικοποίηση ενδέχεται να αυξάνει την πίεση που ασκείται στο περιβάλλον όταν επιβάλλει αδιακρίτως αύξηση της χρήσης των εισροών δίχως αντίστοιχη ενίσχυση της διαχείρισής τους. Μπορεί, για παράδειγμα, η αυξημένη χρήση λιπασμάτων και παρασιτοκτόνων να αυξήσει τον κίνδυνο απορροής θρεπτικών συστατικών και παρασιτοκτόνων στα επιφανειακά και τα υπόγεια ύδατα («απώλεια ανά μονάδα επιφανείας»). Ωστόσο, η πραγματική επίδραση της χρήσης εισροών στο περιβάλλον δεν εξαρτάται μόνο από την ποσότητα των εισροών που χρησιμοποιούνται, αλλά και από τον τρόπο που εφαρμόζονται και τον βαθμό </w:t>
            </w:r>
            <w:r w:rsidRPr="0076580C">
              <w:rPr>
                <w:rFonts w:ascii="Times New Roman" w:hAnsi="Times New Roman" w:cs="Times New Roman"/>
                <w:lang w:val="el"/>
              </w:rPr>
              <w:lastRenderedPageBreak/>
              <w:t>στον οποίο οδηγούν σε αύξηση της παραγωγής («απώλεια ανά μονάδα προϊόντος»). Συνεπώς, η εντατικοποίηση δεν οδηγεί απαραίτητα σε υποβάθμιση του περιβάλλοντος.</w:t>
            </w:r>
          </w:p>
        </w:tc>
        <w:tc>
          <w:tcPr>
            <w:tcW w:w="616" w:type="dxa"/>
          </w:tcPr>
          <w:p w14:paraId="3E753861"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4</w:t>
            </w:r>
          </w:p>
        </w:tc>
      </w:tr>
      <w:tr w:rsidR="00F94540" w:rsidRPr="0076580C" w14:paraId="79847133" w14:textId="77777777" w:rsidTr="2C6C7817">
        <w:tc>
          <w:tcPr>
            <w:tcW w:w="2062" w:type="dxa"/>
          </w:tcPr>
          <w:p w14:paraId="5EF67861"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Εξάντληση</w:t>
            </w:r>
          </w:p>
        </w:tc>
        <w:tc>
          <w:tcPr>
            <w:tcW w:w="1469" w:type="dxa"/>
          </w:tcPr>
          <w:p w14:paraId="3075063E" w14:textId="77777777" w:rsidR="00F94540" w:rsidRPr="0076580C" w:rsidRDefault="00F94540" w:rsidP="002A67F8">
            <w:pPr>
              <w:jc w:val="both"/>
              <w:rPr>
                <w:rFonts w:ascii="Times New Roman" w:hAnsi="Times New Roman" w:cs="Times New Roman"/>
                <w:lang w:val="en-GB"/>
              </w:rPr>
            </w:pPr>
          </w:p>
        </w:tc>
        <w:tc>
          <w:tcPr>
            <w:tcW w:w="5615" w:type="dxa"/>
          </w:tcPr>
          <w:p w14:paraId="147D4CAC" w14:textId="77777777" w:rsidR="00F94540" w:rsidRPr="00F94540" w:rsidRDefault="00F94540" w:rsidP="002A67F8">
            <w:pPr>
              <w:jc w:val="both"/>
              <w:rPr>
                <w:rFonts w:ascii="Times New Roman" w:hAnsi="Times New Roman" w:cs="Times New Roman"/>
                <w:lang w:val="el-GR"/>
              </w:rPr>
            </w:pPr>
            <w:r w:rsidRPr="0076580C">
              <w:rPr>
                <w:rFonts w:ascii="Times New Roman" w:hAnsi="Times New Roman" w:cs="Times New Roman"/>
                <w:lang w:val="el"/>
              </w:rPr>
              <w:t>Η σταδιακή ελάττωση των αποθεμάτων θρεπτικών συστατικών και οργανικής ύλης του εδάφους.</w:t>
            </w:r>
          </w:p>
        </w:tc>
        <w:tc>
          <w:tcPr>
            <w:tcW w:w="616" w:type="dxa"/>
          </w:tcPr>
          <w:p w14:paraId="25F3154A"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7F7B577D" w14:textId="77777777" w:rsidTr="2C6C7817">
        <w:tc>
          <w:tcPr>
            <w:tcW w:w="2062" w:type="dxa"/>
          </w:tcPr>
          <w:p w14:paraId="68F7B001"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Εξατμισοδιαπνοή</w:t>
            </w:r>
          </w:p>
        </w:tc>
        <w:tc>
          <w:tcPr>
            <w:tcW w:w="1469" w:type="dxa"/>
          </w:tcPr>
          <w:p w14:paraId="01280796" w14:textId="77777777" w:rsidR="00F94540" w:rsidRPr="0076580C" w:rsidRDefault="00F94540" w:rsidP="002A67F8">
            <w:pPr>
              <w:jc w:val="both"/>
              <w:rPr>
                <w:rFonts w:ascii="Times New Roman" w:hAnsi="Times New Roman" w:cs="Times New Roman"/>
                <w:color w:val="3A7C22" w:themeColor="accent6" w:themeShade="BF"/>
                <w:lang w:val="en-GB"/>
              </w:rPr>
            </w:pPr>
          </w:p>
        </w:tc>
        <w:tc>
          <w:tcPr>
            <w:tcW w:w="5615" w:type="dxa"/>
          </w:tcPr>
          <w:p w14:paraId="77B7A436" w14:textId="77777777" w:rsidR="00F94540" w:rsidRPr="00F94540" w:rsidRDefault="00F94540" w:rsidP="002A67F8">
            <w:pPr>
              <w:jc w:val="both"/>
              <w:rPr>
                <w:rFonts w:ascii="Times New Roman" w:hAnsi="Times New Roman" w:cs="Times New Roman"/>
                <w:lang w:val="el-GR"/>
              </w:rPr>
            </w:pPr>
            <w:r w:rsidRPr="0076580C">
              <w:rPr>
                <w:rFonts w:ascii="Times New Roman" w:hAnsi="Times New Roman" w:cs="Times New Roman"/>
                <w:lang w:val="el"/>
              </w:rPr>
              <w:t>Η διεργασία κατά την οποία το νερό περνά από υγρή σε αέρια μορφή μέσω της διαπνοής της βλάστησης και της εξάτμισης από τις επιφάνειες του εδάφους και των φυτών. Ο ρυθμός της εξατμισοδιαπνοής συνήθως εκφράζεται σε mm day-¹· μπορεί να γίνει διάκριση ανάμεσα στη δυνητική εξατμισοδιαπνοή, όταν υπάρχει απεριόριστο διαθέσιμο νερό, και την πραγματική εξατμισοδιαπνοή, όταν το διαθέσιμο νερό είναι περιορισμένο.</w:t>
            </w:r>
          </w:p>
        </w:tc>
        <w:tc>
          <w:tcPr>
            <w:tcW w:w="616" w:type="dxa"/>
          </w:tcPr>
          <w:p w14:paraId="5B239797"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36A3E908" w14:textId="77777777" w:rsidTr="2C6C7817">
        <w:tc>
          <w:tcPr>
            <w:tcW w:w="2062" w:type="dxa"/>
          </w:tcPr>
          <w:p w14:paraId="39D85C3C"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Ευτροφισμός</w:t>
            </w:r>
          </w:p>
        </w:tc>
        <w:tc>
          <w:tcPr>
            <w:tcW w:w="1469" w:type="dxa"/>
          </w:tcPr>
          <w:p w14:paraId="3C572D28" w14:textId="77777777" w:rsidR="00F94540" w:rsidRPr="0076580C" w:rsidRDefault="00F94540" w:rsidP="002A67F8">
            <w:pPr>
              <w:jc w:val="both"/>
              <w:rPr>
                <w:rFonts w:ascii="Times New Roman" w:hAnsi="Times New Roman" w:cs="Times New Roman"/>
                <w:lang w:val="en-GB"/>
              </w:rPr>
            </w:pPr>
          </w:p>
        </w:tc>
        <w:tc>
          <w:tcPr>
            <w:tcW w:w="5615" w:type="dxa"/>
          </w:tcPr>
          <w:p w14:paraId="776C3CAE"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Διεργασία κατά την οποία μία υδάτινη μάζα, π.χ. μία λίμνη ή ένα εδαφικό διάλυμα, εμπλουτίζεται με διαλυμένα θρεπτικά συστατικά. Αυτό μπορεί να συμβεί φυσικά, αλλά συχνά οφείλεται στη ρύπανση. Ο ευτροφισμός μπορεί να οδηγήσει σε έξαρση του φυτοπλαγκτού, η οποία με τη σειρά της δημιουργεί αναερόβιες συνθήκες που ενδέχεται να βλάπτουν τη διαβίωση των ψαριών.</w:t>
            </w:r>
          </w:p>
        </w:tc>
        <w:tc>
          <w:tcPr>
            <w:tcW w:w="616" w:type="dxa"/>
          </w:tcPr>
          <w:p w14:paraId="0E60E7A9"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2FCC218C" w14:textId="77777777" w:rsidTr="2C6C7817">
        <w:tc>
          <w:tcPr>
            <w:tcW w:w="2062" w:type="dxa"/>
          </w:tcPr>
          <w:p w14:paraId="492F98F2" w14:textId="77777777" w:rsidR="00F94540" w:rsidRPr="0076580C" w:rsidRDefault="00F94540" w:rsidP="00A655ED">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Ζωντανό σύστημα</w:t>
            </w:r>
          </w:p>
        </w:tc>
        <w:tc>
          <w:tcPr>
            <w:tcW w:w="1469" w:type="dxa"/>
          </w:tcPr>
          <w:p w14:paraId="420B48DE" w14:textId="77777777" w:rsidR="00F94540" w:rsidRPr="0076580C" w:rsidRDefault="00F94540" w:rsidP="00A655ED">
            <w:pPr>
              <w:jc w:val="both"/>
              <w:rPr>
                <w:rFonts w:ascii="Times New Roman" w:hAnsi="Times New Roman" w:cs="Times New Roman"/>
                <w:lang w:val="en-GB"/>
              </w:rPr>
            </w:pPr>
          </w:p>
        </w:tc>
        <w:tc>
          <w:tcPr>
            <w:tcW w:w="5615" w:type="dxa"/>
          </w:tcPr>
          <w:p w14:paraId="45F73507"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Στην περιβαλλοντική επιστήμη, ως ζωντανό σύστημα αναφέρεται κάθε βιολογική οντότητα ή κοινότητα που αλληλεπιδρά με το περιβάλλον και επιδεικνύει χαρακτηριστικά της ζωής. Περιλαμβάνει όχι μόνο μεμονωμένους οργανισμούς αλλά και ολόκληρους πληθυσμούς, κοινότητες, οικοσυστήματα, και τη βιόσφαιρα στο σύνολό της. Παραδείγματα ζωντανών συστημάτων είναι τα οικοσυστήματα, οι μικροβιακές κοινότητες ή οι τροφικοί ιστοί.</w:t>
            </w:r>
          </w:p>
          <w:p w14:paraId="37BA3937"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Η κατανόηση των ζωντανών συστημάτων είναι ουσιαστική εάν επιθυμούμε να αναπτύξουμε βιώσιμες περιβαλλοντικές πρακτικές και πολιτικές που θα στοχεύουν στη διατήρηση της βιοποικιλότητας και της υγείας των οικοσυστημάτων.</w:t>
            </w:r>
          </w:p>
          <w:p w14:paraId="7E31CD7E" w14:textId="77777777" w:rsidR="00F94540" w:rsidRPr="00F94540" w:rsidRDefault="00F94540" w:rsidP="00A655ED">
            <w:pPr>
              <w:jc w:val="both"/>
              <w:rPr>
                <w:rFonts w:ascii="Times New Roman" w:hAnsi="Times New Roman" w:cs="Times New Roman"/>
                <w:lang w:val="el-GR"/>
              </w:rPr>
            </w:pPr>
          </w:p>
          <w:p w14:paraId="57A544CC"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 xml:space="preserve">Χαρακτηριστικά ζωντανών συστημάτων: </w:t>
            </w:r>
          </w:p>
          <w:p w14:paraId="7A4D20D8"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b/>
                <w:lang w:val="el"/>
              </w:rPr>
              <w:t>Αλληλεπίδραση</w:t>
            </w:r>
            <w:r w:rsidRPr="0076580C">
              <w:rPr>
                <w:rFonts w:ascii="Times New Roman" w:hAnsi="Times New Roman" w:cs="Times New Roman"/>
                <w:lang w:val="el"/>
              </w:rPr>
              <w:t>: Τα ζωντανά συστήματα χαρακτηρίζονται από περίπλοκες αλληλεπιδράσεις ανάμεσα σε διάφορα στοιχεία, μεταξύ των οποίων οι οργανισμοί (φυτά, ζώα, μικροοργανισμοί) και το φυσικό τους περιβάλλον (έδαφος, νερό, αέρας). Οι αλληλεπιδράσεις αυτές μπορούν να επηρεάσουν την ανακύκλωση των θρεπτικών συστατικών, τη ροή ενέργειας και τη συνολική υγεία ενός οικοσυστήματος.</w:t>
            </w:r>
          </w:p>
          <w:p w14:paraId="7BF1FD65"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b/>
                <w:lang w:val="el"/>
              </w:rPr>
              <w:t>Προσαρμογή και εξέλιξη</w:t>
            </w:r>
            <w:r w:rsidRPr="0076580C">
              <w:rPr>
                <w:rFonts w:ascii="Times New Roman" w:hAnsi="Times New Roman" w:cs="Times New Roman"/>
                <w:lang w:val="el"/>
              </w:rPr>
              <w:t>: Τα ζωντανά συστήματα προσαρμόζονται στις αλλαγές του περιβάλλοντος με την πάροδο του χρόνου μέσω εξελικτικών διαδικασιών. Αυτή η προσαρμοστικότητα είναι κρίσιμη για την επιβίωσή τους σε μεταβαλλόμενα κλίματα και οικοσυστήματα.</w:t>
            </w:r>
          </w:p>
          <w:p w14:paraId="0D930082"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b/>
                <w:lang w:val="el"/>
              </w:rPr>
              <w:t>Βιωσιμότητα</w:t>
            </w:r>
            <w:r w:rsidRPr="0076580C">
              <w:rPr>
                <w:rFonts w:ascii="Times New Roman" w:hAnsi="Times New Roman" w:cs="Times New Roman"/>
                <w:lang w:val="el"/>
              </w:rPr>
              <w:t>: Στην περιβαλλοντική επιστήμη, τα ζωντανά συστήματα δίνουν έμφαση στη βιωσιμότητα, δηλαδή την ικανότητα μακροπρόθεσμης διατήρησης της οικολογικής ισορροπίας και υποστήριξης της ζωής. Περιλαμβάνει πρακτικές που προάγουν τη βιοποικιλότητα και την ανθεκτικότητα σε στρεσογόνους περιβαλλοντικούς παράγοντες.</w:t>
            </w:r>
          </w:p>
          <w:p w14:paraId="5B873598"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b/>
                <w:lang w:val="el"/>
              </w:rPr>
              <w:lastRenderedPageBreak/>
              <w:t>Οικοσυστημικές υπηρεσίες</w:t>
            </w:r>
            <w:r w:rsidRPr="0076580C">
              <w:rPr>
                <w:rFonts w:ascii="Times New Roman" w:hAnsi="Times New Roman" w:cs="Times New Roman"/>
                <w:lang w:val="el"/>
              </w:rPr>
              <w:t>: Τα ζωντανά συστήματα παρέχουν ζωτικής σημασίας υπηρεσίες όπως η επικονίαση, ο καθαρισμός του νερού, η παγίδευση του άνθρακα και η γονιμότητα του εδάφους. Η κατανόηση αυτών των υπηρεσιών είναι ιδιαιτέρως σημαντική για τη διαχείριση των φυσικών πόρων και την αντιμετώπιση των περιβαλλοντικών προκλήσεων.</w:t>
            </w:r>
          </w:p>
          <w:p w14:paraId="6D1FF529"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b/>
                <w:lang w:val="el"/>
              </w:rPr>
              <w:t>Ανθρώπινη επίδραση</w:t>
            </w:r>
            <w:r w:rsidRPr="0076580C">
              <w:rPr>
                <w:rFonts w:ascii="Times New Roman" w:hAnsi="Times New Roman" w:cs="Times New Roman"/>
                <w:lang w:val="el"/>
              </w:rPr>
              <w:t>: Οι ανθρώπινες δραστηριότητες επηρεάζουν σημαντικά τα ζωντανά συστήματα μέσω της ρύπανσης, της καταστροφής των οικοτόπων, της κλιματικής αλλαγής και της εκμετάλλευσης των φυσικών πόρων. Η περιβαλλοντική επιστήμη επιδιώκει να κατανοήσει αυτές τις επιπτώσεις και να αναπτύξει στρατηγικές για τον μετριασμό και την αποκατάστασή τους.</w:t>
            </w:r>
          </w:p>
          <w:p w14:paraId="7E0D2A24" w14:textId="77777777" w:rsidR="00F94540" w:rsidRPr="00F94540" w:rsidRDefault="00F94540" w:rsidP="00A655ED">
            <w:pPr>
              <w:jc w:val="both"/>
              <w:rPr>
                <w:rFonts w:ascii="Times New Roman" w:hAnsi="Times New Roman" w:cs="Times New Roman"/>
                <w:lang w:val="el-GR"/>
              </w:rPr>
            </w:pPr>
          </w:p>
        </w:tc>
        <w:tc>
          <w:tcPr>
            <w:tcW w:w="616" w:type="dxa"/>
          </w:tcPr>
          <w:p w14:paraId="5A1697D8"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19, 20</w:t>
            </w:r>
          </w:p>
        </w:tc>
      </w:tr>
      <w:tr w:rsidR="00F94540" w:rsidRPr="0076580C" w14:paraId="660F815D" w14:textId="77777777" w:rsidTr="2C6C7817">
        <w:tc>
          <w:tcPr>
            <w:tcW w:w="2062" w:type="dxa"/>
          </w:tcPr>
          <w:p w14:paraId="452FB6CD"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Ηλεκτρική αγωγιμότητα</w:t>
            </w:r>
          </w:p>
        </w:tc>
        <w:tc>
          <w:tcPr>
            <w:tcW w:w="1469" w:type="dxa"/>
          </w:tcPr>
          <w:p w14:paraId="5284A020" w14:textId="77777777" w:rsidR="00F94540" w:rsidRPr="0076580C" w:rsidRDefault="00F94540" w:rsidP="002A67F8">
            <w:pPr>
              <w:jc w:val="both"/>
              <w:rPr>
                <w:rFonts w:ascii="Times New Roman" w:hAnsi="Times New Roman" w:cs="Times New Roman"/>
                <w:lang w:val="en-GB"/>
              </w:rPr>
            </w:pPr>
          </w:p>
        </w:tc>
        <w:tc>
          <w:tcPr>
            <w:tcW w:w="5615" w:type="dxa"/>
          </w:tcPr>
          <w:p w14:paraId="44FFDAAB"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Μέτρηση της ικανότητας ενός υλικού να επιτρέπει να το διαπερνά ηλεκτρικό φορτίο. Χρησιμοποιείται για τη μέτρηση της αλατότητας του εδάφους και την εκτίμηση των πρακτικών συνεπειών της για τις καλλιέργειες. Η ηλεκτρική αγωγιμότητα ενός εδαφικού αιωρήματος σε μία δεδομένη αναλογία εδάφους προς νερό (συνήθως 1:5 ή εκχύλισμα κορεσμού ως υποκατάστατο του εδαφικού διαλύματος), εκφρασμένο ως Siemen/m.</w:t>
            </w:r>
          </w:p>
        </w:tc>
        <w:tc>
          <w:tcPr>
            <w:tcW w:w="616" w:type="dxa"/>
          </w:tcPr>
          <w:p w14:paraId="2674B34E"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123C1631" w14:textId="77777777" w:rsidTr="2C6C7817">
        <w:tc>
          <w:tcPr>
            <w:tcW w:w="2062" w:type="dxa"/>
          </w:tcPr>
          <w:p w14:paraId="7BE2B84E"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Ικανότητα ανταλλαγής κατιόντων</w:t>
            </w:r>
          </w:p>
        </w:tc>
        <w:tc>
          <w:tcPr>
            <w:tcW w:w="1469" w:type="dxa"/>
          </w:tcPr>
          <w:p w14:paraId="43C57B47" w14:textId="77777777" w:rsidR="00F94540" w:rsidRPr="0076580C" w:rsidRDefault="00F94540" w:rsidP="002A67F8">
            <w:pPr>
              <w:jc w:val="both"/>
              <w:rPr>
                <w:rFonts w:ascii="Times New Roman" w:hAnsi="Times New Roman" w:cs="Times New Roman"/>
                <w:lang w:val="en-GB"/>
              </w:rPr>
            </w:pPr>
          </w:p>
        </w:tc>
        <w:tc>
          <w:tcPr>
            <w:tcW w:w="5615" w:type="dxa"/>
          </w:tcPr>
          <w:p w14:paraId="0A171ED9" w14:textId="77777777" w:rsidR="00F94540" w:rsidRPr="0076580C" w:rsidRDefault="00F94540" w:rsidP="002A67F8">
            <w:pPr>
              <w:jc w:val="both"/>
              <w:rPr>
                <w:rFonts w:ascii="Times New Roman" w:hAnsi="Times New Roman" w:cs="Times New Roman"/>
                <w:lang w:val="en-GB"/>
              </w:rPr>
            </w:pPr>
            <w:r w:rsidRPr="0076580C">
              <w:rPr>
                <w:rFonts w:ascii="Times New Roman" w:hAnsi="Times New Roman" w:cs="Times New Roman"/>
                <w:lang w:val="el"/>
              </w:rPr>
              <w:t>Η δυνατότητα του εδάφους να συγκρατεί θρεπτικά συστατικά για τα φυτά. Πιο συγκεκριμένα, είναι η ποσότητα αρνητικού φορτίου που φέρουν τα ορυκτά αργίλου και ο εδαφικός χούμος ώστε να ελκύουν θετικά ιόντα. Τα όξινα εδάφη (pH&lt;5) αναφέρεται ότι έχουν υψηλή ικανότητα ανταλλαγής κατιόντων (effective cation exchange capacity, ECEC). Εκφράζεται σε εκατοστημόρια φορτίου ανά χιλιόγραμμο εδάφους (cmolc/kg).</w:t>
            </w:r>
          </w:p>
        </w:tc>
        <w:tc>
          <w:tcPr>
            <w:tcW w:w="616" w:type="dxa"/>
          </w:tcPr>
          <w:p w14:paraId="34072C52"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w:t>
            </w:r>
          </w:p>
        </w:tc>
      </w:tr>
      <w:tr w:rsidR="00F94540" w:rsidRPr="0076580C" w14:paraId="2458A1D9" w14:textId="77777777" w:rsidTr="2C6C7817">
        <w:tc>
          <w:tcPr>
            <w:tcW w:w="2062" w:type="dxa"/>
          </w:tcPr>
          <w:p w14:paraId="262C0575"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Ικανότητα του εδάφους</w:t>
            </w:r>
          </w:p>
        </w:tc>
        <w:tc>
          <w:tcPr>
            <w:tcW w:w="1469" w:type="dxa"/>
          </w:tcPr>
          <w:p w14:paraId="01DA2111" w14:textId="77777777" w:rsidR="00F94540" w:rsidRPr="0076580C" w:rsidRDefault="00F94540" w:rsidP="00525540">
            <w:pPr>
              <w:jc w:val="both"/>
              <w:rPr>
                <w:rFonts w:ascii="Times New Roman" w:hAnsi="Times New Roman" w:cs="Times New Roman"/>
                <w:lang w:val="en-GB"/>
              </w:rPr>
            </w:pPr>
          </w:p>
        </w:tc>
        <w:tc>
          <w:tcPr>
            <w:tcW w:w="5615" w:type="dxa"/>
          </w:tcPr>
          <w:p w14:paraId="28332833"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εγγενής ικανότητα του εδάφους να πραγματοποιεί/εκπληρώνει τις εδαφικές λειτουργίες.</w:t>
            </w:r>
          </w:p>
        </w:tc>
        <w:tc>
          <w:tcPr>
            <w:tcW w:w="616" w:type="dxa"/>
          </w:tcPr>
          <w:p w14:paraId="4D99E7A6"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2</w:t>
            </w:r>
          </w:p>
        </w:tc>
      </w:tr>
      <w:tr w:rsidR="00F94540" w:rsidRPr="0076580C" w14:paraId="3D8CEE44" w14:textId="77777777" w:rsidTr="2C6C7817">
        <w:tc>
          <w:tcPr>
            <w:tcW w:w="2062" w:type="dxa"/>
          </w:tcPr>
          <w:p w14:paraId="7745D3CD" w14:textId="77777777" w:rsidR="00F94540" w:rsidRPr="0076580C" w:rsidRDefault="00F94540" w:rsidP="00A655ED">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Ιχνοστοιχεία</w:t>
            </w:r>
          </w:p>
        </w:tc>
        <w:tc>
          <w:tcPr>
            <w:tcW w:w="1469" w:type="dxa"/>
          </w:tcPr>
          <w:p w14:paraId="4CDB54BC" w14:textId="77777777" w:rsidR="00F94540" w:rsidRPr="0076580C" w:rsidRDefault="00F94540" w:rsidP="00A655ED">
            <w:pPr>
              <w:jc w:val="both"/>
              <w:rPr>
                <w:rFonts w:ascii="Times New Roman" w:hAnsi="Times New Roman" w:cs="Times New Roman"/>
                <w:lang w:val="en-GB"/>
              </w:rPr>
            </w:pPr>
          </w:p>
        </w:tc>
        <w:tc>
          <w:tcPr>
            <w:tcW w:w="5615" w:type="dxa"/>
          </w:tcPr>
          <w:p w14:paraId="154E947B"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Γίνονται αντιληπτά ως δείκτες ή κατάλοιπα που μαρτυρούν γεγονότα ή συνθήκες του παρελθόντος. Μπορεί να αποτελούν φυσικά σημάδια που έχουν παραμείνει στο περιβάλλον, όπως δείγματα εδάφους που δίνουν ενδείξεις για την παρελθούσα χρήση της γης, ή χημικά στοιχεία που αποκαλύπτουν πληροφορίες για τα επίπεδα ρύπανσης ή τις οικολογικές μεταβολές. Πρόκειται για στοιχεία που υπάρχουν σε πολύ μικρές ποσότητες σε ένα δεδομένο περιβάλλον, συνήθως λιγότερο από 100 μέρη ανά εκατομμύριο (ppm) ή 100 mg/kg. Ανάλογα με τη συγκέντρωσή τους, μπορούν να είναι άκρως χρήσιμα ή τοξικά για τους οργανισμούς. Στοιχεία όπως το αρσενικό (As), το κάδμιο (Cd) και ο μόλυβδος (Pb) μελετώνται συχνά ως ιχνοστοιχεία λόγω των δυνητικών επιπτώσεών τους στο περιβάλλον και την υγεία.</w:t>
            </w:r>
          </w:p>
        </w:tc>
        <w:tc>
          <w:tcPr>
            <w:tcW w:w="616" w:type="dxa"/>
          </w:tcPr>
          <w:p w14:paraId="02A2E08B"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34</w:t>
            </w:r>
          </w:p>
        </w:tc>
      </w:tr>
      <w:tr w:rsidR="00F94540" w:rsidRPr="0076580C" w14:paraId="6D79B4E9" w14:textId="77777777" w:rsidTr="2C6C7817">
        <w:tc>
          <w:tcPr>
            <w:tcW w:w="2062" w:type="dxa"/>
          </w:tcPr>
          <w:p w14:paraId="629D8244" w14:textId="77777777" w:rsidR="00F94540" w:rsidRPr="00F94540" w:rsidRDefault="00F94540" w:rsidP="002A67F8">
            <w:pPr>
              <w:rPr>
                <w:rFonts w:ascii="Times New Roman" w:hAnsi="Times New Roman" w:cs="Times New Roman"/>
                <w:b/>
                <w:color w:val="3A7C22" w:themeColor="accent6" w:themeShade="BF"/>
                <w:lang w:val="el-GR"/>
              </w:rPr>
            </w:pPr>
            <w:r w:rsidRPr="0076580C">
              <w:rPr>
                <w:rFonts w:ascii="Times New Roman" w:hAnsi="Times New Roman" w:cs="Times New Roman"/>
                <w:b/>
                <w:color w:val="3A7C22" w:themeColor="accent6" w:themeShade="BF"/>
                <w:lang w:val="el"/>
              </w:rPr>
              <w:t>Κάλυψη εδάφους με φυτικά υπολείμματα</w:t>
            </w:r>
          </w:p>
        </w:tc>
        <w:tc>
          <w:tcPr>
            <w:tcW w:w="1469" w:type="dxa"/>
          </w:tcPr>
          <w:p w14:paraId="4F9B5A32" w14:textId="77777777" w:rsidR="00F94540" w:rsidRPr="00F94540" w:rsidRDefault="00F94540" w:rsidP="00525540">
            <w:pPr>
              <w:jc w:val="both"/>
              <w:rPr>
                <w:rFonts w:ascii="Times New Roman" w:hAnsi="Times New Roman" w:cs="Times New Roman"/>
                <w:lang w:val="el-GR"/>
              </w:rPr>
            </w:pPr>
          </w:p>
        </w:tc>
        <w:tc>
          <w:tcPr>
            <w:tcW w:w="5615" w:type="dxa"/>
          </w:tcPr>
          <w:p w14:paraId="15E014CC"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Γεωργική πρακτική που περιλαμβάνει την κάλυψη της επιφάνειας του εδάφους, συνήθως με οργανικά υλικά ή φύλλα πλαστικού, για την επαρκή προστασία του εδάφους και της υγρασίας, τον περιορισμό των ζιζανίων, την αποτροπή εμφάνισης παρασίτων, και τη διατήρηση ευνοϊκών και σταθερών συνθηκών για την ανάπτυξη των φυτών.</w:t>
            </w:r>
          </w:p>
        </w:tc>
        <w:tc>
          <w:tcPr>
            <w:tcW w:w="616" w:type="dxa"/>
          </w:tcPr>
          <w:p w14:paraId="508A8769"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w:t>
            </w:r>
          </w:p>
        </w:tc>
      </w:tr>
      <w:tr w:rsidR="00F94540" w:rsidRPr="0076580C" w14:paraId="18FEFD75" w14:textId="77777777" w:rsidTr="2C6C7817">
        <w:tc>
          <w:tcPr>
            <w:tcW w:w="2062" w:type="dxa"/>
          </w:tcPr>
          <w:p w14:paraId="711E52D1"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Κατάσταση εδάφους</w:t>
            </w:r>
          </w:p>
        </w:tc>
        <w:tc>
          <w:tcPr>
            <w:tcW w:w="1469" w:type="dxa"/>
          </w:tcPr>
          <w:p w14:paraId="335C05A7" w14:textId="77777777" w:rsidR="00F94540" w:rsidRPr="0076580C" w:rsidRDefault="00F94540" w:rsidP="00525540">
            <w:pPr>
              <w:jc w:val="both"/>
              <w:rPr>
                <w:rFonts w:ascii="Times New Roman" w:hAnsi="Times New Roman" w:cs="Times New Roman"/>
                <w:lang w:val="en-GB"/>
              </w:rPr>
            </w:pPr>
          </w:p>
        </w:tc>
        <w:tc>
          <w:tcPr>
            <w:tcW w:w="5615" w:type="dxa"/>
          </w:tcPr>
          <w:p w14:paraId="6C519688"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 xml:space="preserve">Αναφέρεται στις ακριβείς συνθήκες στις οποίες βρίσκεται το έδαφος, μεταξύ άλλων τα φυσικά, χημικά και βιολογικά του </w:t>
            </w:r>
            <w:r w:rsidRPr="0076580C">
              <w:rPr>
                <w:rFonts w:ascii="Times New Roman" w:hAnsi="Times New Roman" w:cs="Times New Roman"/>
                <w:lang w:val="el"/>
              </w:rPr>
              <w:lastRenderedPageBreak/>
              <w:t>χαρακτηριστικά, καθώς και στις διεργασίες και τις σχέσεις αλληλεπίδρασης που τα συνδέουν, οι οποίες με τη σειρά τους καθορίζουν την ικανότητα του εδάφους να υποστηρίξει τις οικοσυστημικές υπηρεσίες.</w:t>
            </w:r>
          </w:p>
        </w:tc>
        <w:tc>
          <w:tcPr>
            <w:tcW w:w="616" w:type="dxa"/>
          </w:tcPr>
          <w:p w14:paraId="1108C875"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2</w:t>
            </w:r>
          </w:p>
        </w:tc>
      </w:tr>
      <w:tr w:rsidR="00F94540" w:rsidRPr="0076580C" w14:paraId="082C3492" w14:textId="77777777" w:rsidTr="2C6C7817">
        <w:tc>
          <w:tcPr>
            <w:tcW w:w="2062" w:type="dxa"/>
          </w:tcPr>
          <w:p w14:paraId="094E39E3"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Κατείσδυση</w:t>
            </w:r>
          </w:p>
        </w:tc>
        <w:tc>
          <w:tcPr>
            <w:tcW w:w="1469" w:type="dxa"/>
          </w:tcPr>
          <w:p w14:paraId="190F7EC7" w14:textId="77777777" w:rsidR="00F94540" w:rsidRPr="0076580C" w:rsidRDefault="00F94540" w:rsidP="00525540">
            <w:pPr>
              <w:jc w:val="both"/>
              <w:rPr>
                <w:rFonts w:ascii="Times New Roman" w:hAnsi="Times New Roman" w:cs="Times New Roman"/>
                <w:lang w:val="en-GB"/>
              </w:rPr>
            </w:pPr>
          </w:p>
        </w:tc>
        <w:tc>
          <w:tcPr>
            <w:tcW w:w="5615" w:type="dxa"/>
          </w:tcPr>
          <w:p w14:paraId="027F4C72"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κίνηση του νερού που περνά από την επιφάνεια του εδάφους μέσα σε αυτό [σε αντίστιξη με τη διήθηση, που είναι η κίνηση του νερού μέσα από το εδαφικό προφίλ (τους εδαφικούς ορίζοντες) με καθοδική πορεία προς τους υδροφόρους ορίζοντες.]</w:t>
            </w:r>
          </w:p>
        </w:tc>
        <w:tc>
          <w:tcPr>
            <w:tcW w:w="616" w:type="dxa"/>
          </w:tcPr>
          <w:p w14:paraId="68A47512"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5CB849F8" w14:textId="77777777" w:rsidTr="2C6C7817">
        <w:tc>
          <w:tcPr>
            <w:tcW w:w="2062" w:type="dxa"/>
          </w:tcPr>
          <w:p w14:paraId="22E98747"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Κομπόστ</w:t>
            </w:r>
          </w:p>
        </w:tc>
        <w:tc>
          <w:tcPr>
            <w:tcW w:w="1469" w:type="dxa"/>
          </w:tcPr>
          <w:p w14:paraId="73F77825" w14:textId="77777777" w:rsidR="00F94540" w:rsidRPr="0076580C" w:rsidRDefault="00F94540" w:rsidP="002A67F8">
            <w:pPr>
              <w:jc w:val="both"/>
              <w:rPr>
                <w:rFonts w:ascii="Times New Roman" w:hAnsi="Times New Roman" w:cs="Times New Roman"/>
                <w:lang w:val="en-GB"/>
              </w:rPr>
            </w:pPr>
          </w:p>
        </w:tc>
        <w:tc>
          <w:tcPr>
            <w:tcW w:w="5615" w:type="dxa"/>
          </w:tcPr>
          <w:p w14:paraId="77C91CF9"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Το υλικό που χρησιμοποιείται για τον εμπλουτισμό του εδάφους με οργανική ύλη ή θρεπτικά συστατικά για τα φυτά, το οποίο προκύπτει από την κομποστοποίηση.</w:t>
            </w:r>
          </w:p>
        </w:tc>
        <w:tc>
          <w:tcPr>
            <w:tcW w:w="616" w:type="dxa"/>
          </w:tcPr>
          <w:p w14:paraId="79696E45"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w:t>
            </w:r>
          </w:p>
        </w:tc>
      </w:tr>
      <w:tr w:rsidR="00F94540" w:rsidRPr="0076580C" w14:paraId="3A48E018" w14:textId="77777777" w:rsidTr="2C6C7817">
        <w:tc>
          <w:tcPr>
            <w:tcW w:w="2062" w:type="dxa"/>
          </w:tcPr>
          <w:p w14:paraId="24FAA781"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Κομποστοποίηση</w:t>
            </w:r>
          </w:p>
        </w:tc>
        <w:tc>
          <w:tcPr>
            <w:tcW w:w="1469" w:type="dxa"/>
          </w:tcPr>
          <w:p w14:paraId="3EF8D5BB" w14:textId="77777777" w:rsidR="00F94540" w:rsidRPr="0076580C" w:rsidRDefault="00F94540" w:rsidP="002A67F8">
            <w:pPr>
              <w:jc w:val="both"/>
              <w:rPr>
                <w:rFonts w:ascii="Times New Roman" w:hAnsi="Times New Roman" w:cs="Times New Roman"/>
                <w:lang w:val="en-GB"/>
              </w:rPr>
            </w:pPr>
          </w:p>
        </w:tc>
        <w:tc>
          <w:tcPr>
            <w:tcW w:w="5615" w:type="dxa"/>
          </w:tcPr>
          <w:p w14:paraId="6B2C46EA"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Η αερόβια μικροβιακή αποσύνθεση οργανικών υλικών όπως τα γεωργικά απόβλητα, τα οργανικά αστικά λύματα και τα υπολείμματα από την κοπή του γρασιδιού. Η διεργασία αυτή συνήθως επιτελείται με την τακτική ανάδευση και τον αερισμό της οργανικής βιομάζας που αποθηκεύεται σε στοίβες, με γεωμετρική διάταξη που της επιτρέπει να αναπνέει. Κατά τη διάρκεια της διεργασίας, τα οργανικά υλικά που διασπώνται πιο εύκολα υφίστανται οξείδωση και μετατρέπονται σε σταθερή οργανική ύλη, η οποία μπορεί να χρησιμοποιηθεί στη γεωργία ως λίπασμα και ως μέθοδος βιολογικού ελέγχου. Ανάλογα με τα υλικά που χρησιμοποιούνται για την κομποστοποίηση, ελλοχεύουν ορισμένοι κίνδυνοι, π.χ. τα υλικά οικιακής χρήσης ενδέχεται να περιέχουν μικροπλαστικά, και για τον λόγο αυτό απαιτείται προσοχή κατά τη χρήση τους στις γεωργικές εφαρμογές. Επίσης, η απώλεια νερού ενδέχεται να μειώσει τον όγκο της βιομάζας, ενώ η ομογενοποίηση την καθιστά πιο εύκολα διαχειρίσιμη.</w:t>
            </w:r>
          </w:p>
          <w:p w14:paraId="1CA97300"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Πέρα από αυτά τα οφέλη, η κομποστοποίηση βοηθά στη μείωση της φυτοτοξικότητας των οργανικών υλικών που χρησιμοποιούνται και την απολύμανσή τους, και περιορίζει τη βλαστική ικανότητα τυχόν σπόρων ζιζανίων.</w:t>
            </w:r>
          </w:p>
        </w:tc>
        <w:tc>
          <w:tcPr>
            <w:tcW w:w="616" w:type="dxa"/>
          </w:tcPr>
          <w:p w14:paraId="2BAD815F"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1, 3</w:t>
            </w:r>
          </w:p>
        </w:tc>
      </w:tr>
      <w:tr w:rsidR="00F94540" w:rsidRPr="0076580C" w14:paraId="781E2C84" w14:textId="77777777" w:rsidTr="2C6C7817">
        <w:tc>
          <w:tcPr>
            <w:tcW w:w="2062" w:type="dxa"/>
          </w:tcPr>
          <w:p w14:paraId="18C9D69B"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Κοπριά</w:t>
            </w:r>
          </w:p>
        </w:tc>
        <w:tc>
          <w:tcPr>
            <w:tcW w:w="1469" w:type="dxa"/>
          </w:tcPr>
          <w:p w14:paraId="123AC2A4" w14:textId="77777777" w:rsidR="00F94540" w:rsidRPr="0076580C" w:rsidRDefault="00F94540" w:rsidP="00525540">
            <w:pPr>
              <w:jc w:val="both"/>
              <w:rPr>
                <w:rFonts w:ascii="Times New Roman" w:hAnsi="Times New Roman" w:cs="Times New Roman"/>
                <w:lang w:val="en-GB"/>
              </w:rPr>
            </w:pPr>
          </w:p>
        </w:tc>
        <w:tc>
          <w:tcPr>
            <w:tcW w:w="5615" w:type="dxa"/>
          </w:tcPr>
          <w:p w14:paraId="7349C83F"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κοπριά είναι ένα είδος λιπάσματος που αποτελείται από ζωικά περιττώματα, μόνα τους ή μαζί με αχυροστρωμνή.</w:t>
            </w:r>
          </w:p>
        </w:tc>
        <w:tc>
          <w:tcPr>
            <w:tcW w:w="616" w:type="dxa"/>
          </w:tcPr>
          <w:p w14:paraId="7093FB57"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w:t>
            </w:r>
          </w:p>
        </w:tc>
      </w:tr>
      <w:tr w:rsidR="00F94540" w:rsidRPr="0076580C" w14:paraId="172ADB8F" w14:textId="77777777" w:rsidTr="2C6C7817">
        <w:tc>
          <w:tcPr>
            <w:tcW w:w="2062" w:type="dxa"/>
          </w:tcPr>
          <w:p w14:paraId="389EC428"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Κορεσμός βάσης</w:t>
            </w:r>
          </w:p>
        </w:tc>
        <w:tc>
          <w:tcPr>
            <w:tcW w:w="1469" w:type="dxa"/>
          </w:tcPr>
          <w:p w14:paraId="3DD80447" w14:textId="77777777" w:rsidR="00F94540" w:rsidRPr="0076580C" w:rsidRDefault="00F94540" w:rsidP="002A67F8">
            <w:pPr>
              <w:tabs>
                <w:tab w:val="left" w:pos="262"/>
              </w:tabs>
              <w:jc w:val="both"/>
              <w:rPr>
                <w:rFonts w:ascii="Times New Roman" w:hAnsi="Times New Roman" w:cs="Times New Roman"/>
                <w:lang w:val="en-GB"/>
              </w:rPr>
            </w:pPr>
          </w:p>
        </w:tc>
        <w:tc>
          <w:tcPr>
            <w:tcW w:w="5615" w:type="dxa"/>
          </w:tcPr>
          <w:p w14:paraId="2328F827" w14:textId="77777777" w:rsidR="00F94540" w:rsidRPr="0076580C" w:rsidRDefault="00F94540" w:rsidP="002A67F8">
            <w:pPr>
              <w:tabs>
                <w:tab w:val="left" w:pos="262"/>
              </w:tabs>
              <w:jc w:val="both"/>
              <w:rPr>
                <w:rFonts w:ascii="Times New Roman" w:hAnsi="Times New Roman" w:cs="Times New Roman"/>
                <w:lang w:val="el-GR"/>
              </w:rPr>
            </w:pPr>
            <w:r w:rsidRPr="0076580C">
              <w:rPr>
                <w:rFonts w:ascii="Times New Roman" w:hAnsi="Times New Roman" w:cs="Times New Roman"/>
                <w:lang w:val="el"/>
              </w:rPr>
              <w:t>Ο βαθμός στον οποίο ένα έδαφος με ιδιότητες ανταλλαγής κατιόντων είναι κορεσμένο με ανταλλάξιμες βάσεις (σύνολο Ca, Mg, Na, K)· εκφράζεται ως ποσοστό της συνολικής ικανότητας ανταλλαγής κατιόντων του εδάφους.</w:t>
            </w:r>
          </w:p>
        </w:tc>
        <w:tc>
          <w:tcPr>
            <w:tcW w:w="616" w:type="dxa"/>
          </w:tcPr>
          <w:p w14:paraId="75C4BA45"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w:t>
            </w:r>
          </w:p>
        </w:tc>
      </w:tr>
      <w:tr w:rsidR="00F94540" w:rsidRPr="0076580C" w14:paraId="2430C202" w14:textId="77777777" w:rsidTr="2C6C7817">
        <w:tc>
          <w:tcPr>
            <w:tcW w:w="2062" w:type="dxa"/>
          </w:tcPr>
          <w:p w14:paraId="6235C567"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Κύκλος του άνθρακα</w:t>
            </w:r>
          </w:p>
        </w:tc>
        <w:tc>
          <w:tcPr>
            <w:tcW w:w="1469" w:type="dxa"/>
          </w:tcPr>
          <w:p w14:paraId="43E2F30F" w14:textId="77777777" w:rsidR="00F94540" w:rsidRPr="0076580C" w:rsidRDefault="00F94540" w:rsidP="002A67F8">
            <w:pPr>
              <w:jc w:val="both"/>
              <w:rPr>
                <w:rFonts w:ascii="Times New Roman" w:hAnsi="Times New Roman" w:cs="Times New Roman"/>
                <w:lang w:val="en-GB"/>
              </w:rPr>
            </w:pPr>
          </w:p>
        </w:tc>
        <w:tc>
          <w:tcPr>
            <w:tcW w:w="5615" w:type="dxa"/>
          </w:tcPr>
          <w:p w14:paraId="74935CD7"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Η αλληλουχία αλλαγών κατά τις οποίες το διοξείδιο του άνθρακα μετατρέπεται σε οργανικές μορφές μέσω της φωτοσύνθεσης ή της χημειοσύνθεσης, ανακυκλώνεται μέσα από τη βιόσφαιρα (με μερική ενσωμάτωσή του σε ιζήματα), και τελικά επιστρέφει στην αρχική του κατάσταση μέσω της αναπνοής ή της καύσης.</w:t>
            </w:r>
          </w:p>
        </w:tc>
        <w:tc>
          <w:tcPr>
            <w:tcW w:w="616" w:type="dxa"/>
          </w:tcPr>
          <w:p w14:paraId="545D8E81"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w:t>
            </w:r>
          </w:p>
        </w:tc>
      </w:tr>
      <w:tr w:rsidR="00F94540" w:rsidRPr="0076580C" w14:paraId="3E11FD5E" w14:textId="77777777" w:rsidTr="2C6C7817">
        <w:tc>
          <w:tcPr>
            <w:tcW w:w="2062" w:type="dxa"/>
          </w:tcPr>
          <w:p w14:paraId="7D8F83B7"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Λειτουργίες του εδάφους</w:t>
            </w:r>
          </w:p>
        </w:tc>
        <w:tc>
          <w:tcPr>
            <w:tcW w:w="1469" w:type="dxa"/>
          </w:tcPr>
          <w:p w14:paraId="05BCFE24" w14:textId="77777777" w:rsidR="00F94540" w:rsidRPr="0076580C" w:rsidRDefault="00F94540" w:rsidP="00525540">
            <w:pPr>
              <w:jc w:val="both"/>
              <w:rPr>
                <w:rFonts w:ascii="Times New Roman" w:hAnsi="Times New Roman" w:cs="Times New Roman"/>
                <w:lang w:val="en-GB"/>
              </w:rPr>
            </w:pPr>
          </w:p>
        </w:tc>
        <w:tc>
          <w:tcPr>
            <w:tcW w:w="5615" w:type="dxa"/>
          </w:tcPr>
          <w:p w14:paraId="3E6E6BE4" w14:textId="77777777" w:rsidR="00F94540" w:rsidRPr="0076580C" w:rsidRDefault="00F94540" w:rsidP="00525540">
            <w:pPr>
              <w:jc w:val="both"/>
              <w:rPr>
                <w:rFonts w:ascii="Times New Roman" w:hAnsi="Times New Roman" w:cs="Times New Roman"/>
                <w:lang w:val="en-GB"/>
              </w:rPr>
            </w:pPr>
            <w:r w:rsidRPr="0076580C">
              <w:rPr>
                <w:rFonts w:ascii="Times New Roman" w:hAnsi="Times New Roman" w:cs="Times New Roman"/>
                <w:lang w:val="el"/>
              </w:rPr>
              <w:t>Οι λειτουργίες του οικοσυστήματος συνδέονται άμεσα και έμμεσα με το έδαφος. Τα εδάφη επιτελούν πολλές λειτουργίες, αφού όταν είναι υγιή μας παρέχουν καθαρό αέρα και νερό, αφθονία φυτών και δασών, επαρκείς βοσκότοπους, ποικιλομορφία άγριων ζώων και φυτών, και όμορφα τοπία. Όλα αυτά επιτυγχάνονται μέσω πέντε λειτουργιών του εδάφους:</w:t>
            </w:r>
          </w:p>
          <w:p w14:paraId="2D2DE83D" w14:textId="77777777" w:rsidR="00F94540" w:rsidRPr="00F94540" w:rsidRDefault="00F94540" w:rsidP="00525540">
            <w:pPr>
              <w:pStyle w:val="ListParagraph"/>
              <w:numPr>
                <w:ilvl w:val="0"/>
                <w:numId w:val="2"/>
              </w:numPr>
              <w:ind w:left="244" w:hanging="244"/>
              <w:jc w:val="both"/>
              <w:rPr>
                <w:rFonts w:ascii="Times New Roman" w:hAnsi="Times New Roman" w:cs="Times New Roman"/>
                <w:lang w:val="el-GR"/>
              </w:rPr>
            </w:pPr>
            <w:r w:rsidRPr="0076580C">
              <w:rPr>
                <w:rFonts w:ascii="Times New Roman" w:hAnsi="Times New Roman" w:cs="Times New Roman"/>
                <w:lang w:val="el"/>
              </w:rPr>
              <w:t xml:space="preserve">Ανακύκλωση των θρεπτικών συστατικών — Το έδαφος αποθηκεύει θρεπτικές ουσίες, μετριάζει την έκλυσή τους, </w:t>
            </w:r>
            <w:r w:rsidRPr="0076580C">
              <w:rPr>
                <w:rFonts w:ascii="Times New Roman" w:hAnsi="Times New Roman" w:cs="Times New Roman"/>
                <w:lang w:val="el"/>
              </w:rPr>
              <w:lastRenderedPageBreak/>
              <w:t>και τις ανακυκλώνει μαζί με άλλα στοιχεία. Κατά τις βιογεωχημικές αυτές διεργασίες, όπως συμβαίνει αντίστοιχα και με τον κύκλο του νερού, τα θρεπτικά συστατικά μπορούν να μετατρέπονται σε μορφές διαθέσιμες για τα φυτά, να συγκρατούνται από το έδαφος, ή να διαφεύγουν στην ατμόσφαιρα ή το νερό.</w:t>
            </w:r>
          </w:p>
          <w:p w14:paraId="553340E7" w14:textId="77777777" w:rsidR="00F94540" w:rsidRPr="00F94540" w:rsidRDefault="00F94540" w:rsidP="00525540">
            <w:pPr>
              <w:pStyle w:val="ListParagraph"/>
              <w:numPr>
                <w:ilvl w:val="0"/>
                <w:numId w:val="2"/>
              </w:numPr>
              <w:ind w:left="244" w:hanging="244"/>
              <w:jc w:val="both"/>
              <w:rPr>
                <w:rFonts w:ascii="Times New Roman" w:hAnsi="Times New Roman" w:cs="Times New Roman"/>
                <w:lang w:val="el-GR"/>
              </w:rPr>
            </w:pPr>
            <w:r w:rsidRPr="0076580C">
              <w:rPr>
                <w:rFonts w:ascii="Times New Roman" w:hAnsi="Times New Roman" w:cs="Times New Roman"/>
                <w:lang w:val="el"/>
              </w:rPr>
              <w:t>Σχέση με το νερό — το έδαφος μπορεί να ρυθμίζει την αποστράγγιση, τη ροή και την αποθήκευση του νερού και των διαλυμένων ουσιών, μεταξύ των οποίων το άζωτο, ο φώσφορος, τα παρασιτοκτόνα, και άλλα θρεπτικά συστατικά και ενώσεις που διαλύονται στο νερό. Με την κατάλληλη διαδικασία, το έδαφος διαχωρίζει το νερό που θα αναπληρώσει τα υπόγεια ύδατα και αυτό που θα χρησιμοποιηθεί από τα φυτά και τους οργανισμούς που ζουν στο έδαφος.</w:t>
            </w:r>
          </w:p>
          <w:p w14:paraId="2A4DC878" w14:textId="77777777" w:rsidR="00F94540" w:rsidRPr="00F94540" w:rsidRDefault="00F94540" w:rsidP="00525540">
            <w:pPr>
              <w:pStyle w:val="ListParagraph"/>
              <w:numPr>
                <w:ilvl w:val="0"/>
                <w:numId w:val="2"/>
              </w:numPr>
              <w:ind w:left="244" w:hanging="244"/>
              <w:jc w:val="both"/>
              <w:rPr>
                <w:rFonts w:ascii="Times New Roman" w:hAnsi="Times New Roman" w:cs="Times New Roman"/>
                <w:lang w:val="el-GR"/>
              </w:rPr>
            </w:pPr>
            <w:r w:rsidRPr="0076580C">
              <w:rPr>
                <w:rFonts w:ascii="Times New Roman" w:hAnsi="Times New Roman" w:cs="Times New Roman"/>
                <w:lang w:val="el"/>
              </w:rPr>
              <w:t>Βιοποικιλότητα και οικότοποι — Το έδαφος υποστηρίζει την ανάπτυξη πολλών και διάφορων φυτών, ζώων και μικροοργανισμών που ζουν σε αυτό, συνήθως παρέχοντάς τους μία ποικιλία φυσικών, χημικών και βιολογικών οικότοπων.</w:t>
            </w:r>
          </w:p>
          <w:p w14:paraId="05106250" w14:textId="77777777" w:rsidR="00F94540" w:rsidRPr="00F94540" w:rsidRDefault="00F94540" w:rsidP="00525540">
            <w:pPr>
              <w:pStyle w:val="ListParagraph"/>
              <w:numPr>
                <w:ilvl w:val="0"/>
                <w:numId w:val="2"/>
              </w:numPr>
              <w:ind w:left="244" w:hanging="244"/>
              <w:jc w:val="both"/>
              <w:rPr>
                <w:rFonts w:ascii="Times New Roman" w:hAnsi="Times New Roman" w:cs="Times New Roman"/>
                <w:lang w:val="el-GR"/>
              </w:rPr>
            </w:pPr>
            <w:r w:rsidRPr="0076580C">
              <w:rPr>
                <w:rFonts w:ascii="Times New Roman" w:hAnsi="Times New Roman" w:cs="Times New Roman"/>
                <w:lang w:val="el"/>
              </w:rPr>
              <w:t>Φιλτράρισμα και οριοθέτηση — Το έδαφος λειτουργεί ως φίλτρο που προστατεύει την ποιότητα του νερού, του αέρα και άλλων φυσικών πόρων. Έχει την ικανότητα να εξουδετερώνει ή να μετατρέπει τοξικές ενώσεις ή την περίσσεια θρεπτικών ουσιών, ή εναλλακτικά να τις καθιστά διαθέσιμες για τα φυτά και τα ζώα.</w:t>
            </w:r>
          </w:p>
          <w:p w14:paraId="60984BCF" w14:textId="77777777" w:rsidR="00F94540" w:rsidRPr="00F94540" w:rsidRDefault="00F94540" w:rsidP="00B22A51">
            <w:pPr>
              <w:pStyle w:val="ListParagraph"/>
              <w:numPr>
                <w:ilvl w:val="0"/>
                <w:numId w:val="2"/>
              </w:numPr>
              <w:ind w:left="282" w:hanging="282"/>
              <w:jc w:val="both"/>
              <w:rPr>
                <w:rFonts w:ascii="Times New Roman" w:hAnsi="Times New Roman" w:cs="Times New Roman"/>
                <w:lang w:val="el-GR"/>
              </w:rPr>
            </w:pPr>
            <w:r w:rsidRPr="0076580C">
              <w:rPr>
                <w:rFonts w:ascii="Times New Roman" w:hAnsi="Times New Roman" w:cs="Times New Roman"/>
                <w:lang w:val="el"/>
              </w:rPr>
              <w:t>Φυσική σταθερότητα και στήριξη — Το έδαφος έχει την ικανότητα να διατηρεί την πορώδη δομή του και να ρυθμίζει τη διάβαση του αέρα, των αερίων και του νερού, να αντέχει τις διαβρωτικές δυνάμεις, να στηρίζει βαριά φορτία και να αποτελεί μέσο ανάπτυξης για τις ρίζες των φυτών.</w:t>
            </w:r>
          </w:p>
        </w:tc>
        <w:tc>
          <w:tcPr>
            <w:tcW w:w="616" w:type="dxa"/>
          </w:tcPr>
          <w:p w14:paraId="4DA13F9B"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7</w:t>
            </w:r>
          </w:p>
        </w:tc>
      </w:tr>
      <w:tr w:rsidR="00F94540" w:rsidRPr="0076580C" w14:paraId="6ADB57C6" w14:textId="77777777" w:rsidTr="2C6C7817">
        <w:tc>
          <w:tcPr>
            <w:tcW w:w="2062" w:type="dxa"/>
          </w:tcPr>
          <w:p w14:paraId="5331D3BE"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Λειτουργική διαχείριση γης</w:t>
            </w:r>
          </w:p>
        </w:tc>
        <w:tc>
          <w:tcPr>
            <w:tcW w:w="1469" w:type="dxa"/>
          </w:tcPr>
          <w:p w14:paraId="3994FCA3" w14:textId="77777777" w:rsidR="00F94540" w:rsidRPr="0076580C" w:rsidRDefault="00F94540" w:rsidP="00525540">
            <w:pPr>
              <w:jc w:val="both"/>
              <w:rPr>
                <w:rFonts w:ascii="Times New Roman" w:hAnsi="Times New Roman" w:cs="Times New Roman"/>
                <w:lang w:val="en-GB"/>
              </w:rPr>
            </w:pPr>
          </w:p>
        </w:tc>
        <w:tc>
          <w:tcPr>
            <w:tcW w:w="5615" w:type="dxa"/>
          </w:tcPr>
          <w:p w14:paraId="23ACC02D"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Ένα εννοιολογικό πλαίσιο για τη βελτιστοποίηση της παροχής οικοσυστημικών υπηρεσιών με βάση πέντε θεμελιώδεις λειτουργίες του εδάφους, σε διαφορετικές χωρικές κλίμακες, με σκοπό την ταυτόχρονη εκπλήρωση στόχων γεωπονικής και περιβαλλοντικής πολιτικής.</w:t>
            </w:r>
          </w:p>
          <w:p w14:paraId="35553259"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 xml:space="preserve">Περισσότερες πληροφορίες: Έννοια λειτουργιών του εδάφους </w:t>
            </w:r>
            <w:r>
              <w:fldChar w:fldCharType="begin"/>
            </w:r>
            <w:r>
              <w:instrText>HYPERLINK</w:instrText>
            </w:r>
            <w:r w:rsidRPr="00F94540">
              <w:rPr>
                <w:lang w:val="el-GR"/>
              </w:rPr>
              <w:instrText xml:space="preserve"> "</w:instrText>
            </w:r>
            <w:r>
              <w:instrText>http</w:instrText>
            </w:r>
            <w:r w:rsidRPr="00F94540">
              <w:rPr>
                <w:lang w:val="el-GR"/>
              </w:rPr>
              <w:instrText>://</w:instrText>
            </w:r>
            <w:r>
              <w:instrText>landmarkproject</w:instrText>
            </w:r>
            <w:r w:rsidRPr="00F94540">
              <w:rPr>
                <w:lang w:val="el-GR"/>
              </w:rPr>
              <w:instrText>.</w:instrText>
            </w:r>
            <w:r>
              <w:instrText>eu</w:instrText>
            </w:r>
            <w:r w:rsidRPr="00F94540">
              <w:rPr>
                <w:lang w:val="el-GR"/>
              </w:rPr>
              <w:instrText>/</w:instrText>
            </w:r>
            <w:r>
              <w:instrText>soil</w:instrText>
            </w:r>
            <w:r w:rsidRPr="00F94540">
              <w:rPr>
                <w:lang w:val="el-GR"/>
              </w:rPr>
              <w:instrText>-</w:instrText>
            </w:r>
            <w:r>
              <w:instrText>functions</w:instrText>
            </w:r>
            <w:r w:rsidRPr="00F94540">
              <w:rPr>
                <w:lang w:val="el-GR"/>
              </w:rPr>
              <w:instrText>-</w:instrText>
            </w:r>
            <w:r>
              <w:instrText>concept</w:instrText>
            </w:r>
            <w:r w:rsidRPr="00F94540">
              <w:rPr>
                <w:lang w:val="el-GR"/>
              </w:rPr>
              <w:instrText>/"</w:instrText>
            </w:r>
            <w:r>
              <w:fldChar w:fldCharType="separate"/>
            </w:r>
            <w:r w:rsidRPr="0076580C">
              <w:rPr>
                <w:rStyle w:val="Hyperlink"/>
                <w:rFonts w:ascii="Times New Roman" w:hAnsi="Times New Roman" w:cs="Times New Roman"/>
                <w:lang w:val="el"/>
              </w:rPr>
              <w:t>http://landmarkproject.eu/soil-functions-concept/</w:t>
            </w:r>
            <w:r>
              <w:fldChar w:fldCharType="end"/>
            </w:r>
            <w:r w:rsidRPr="0076580C">
              <w:rPr>
                <w:rFonts w:ascii="Times New Roman" w:hAnsi="Times New Roman" w:cs="Times New Roman"/>
                <w:lang w:val="el"/>
              </w:rPr>
              <w:t>.</w:t>
            </w:r>
          </w:p>
        </w:tc>
        <w:tc>
          <w:tcPr>
            <w:tcW w:w="616" w:type="dxa"/>
          </w:tcPr>
          <w:p w14:paraId="20795C6C"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37CDD545" w14:textId="77777777" w:rsidTr="2C6C7817">
        <w:tc>
          <w:tcPr>
            <w:tcW w:w="2062" w:type="dxa"/>
          </w:tcPr>
          <w:p w14:paraId="7BC33E23" w14:textId="77777777" w:rsidR="00F94540" w:rsidRPr="00F94540" w:rsidRDefault="00F94540" w:rsidP="00A655ED">
            <w:pPr>
              <w:rPr>
                <w:rFonts w:ascii="Times New Roman" w:hAnsi="Times New Roman" w:cs="Times New Roman"/>
                <w:b/>
                <w:color w:val="D86DCB" w:themeColor="accent5" w:themeTint="99"/>
                <w:lang w:val="el-GR"/>
              </w:rPr>
            </w:pPr>
            <w:r w:rsidRPr="0076580C">
              <w:rPr>
                <w:rFonts w:ascii="Times New Roman" w:hAnsi="Times New Roman" w:cs="Times New Roman"/>
                <w:b/>
                <w:color w:val="3A7C22" w:themeColor="accent6" w:themeShade="BF"/>
                <w:lang w:val="el"/>
              </w:rPr>
              <w:t>Μεθοδολογίες που ενθαρρύνουν την εμπλοκή</w:t>
            </w:r>
          </w:p>
        </w:tc>
        <w:tc>
          <w:tcPr>
            <w:tcW w:w="1469" w:type="dxa"/>
          </w:tcPr>
          <w:p w14:paraId="0C33C49F" w14:textId="77777777" w:rsidR="00F94540" w:rsidRPr="00F94540" w:rsidRDefault="00F94540" w:rsidP="00A655ED">
            <w:pPr>
              <w:jc w:val="both"/>
              <w:rPr>
                <w:rFonts w:ascii="Times New Roman" w:hAnsi="Times New Roman" w:cs="Times New Roman"/>
                <w:lang w:val="el-GR"/>
              </w:rPr>
            </w:pPr>
          </w:p>
        </w:tc>
        <w:tc>
          <w:tcPr>
            <w:tcW w:w="5615" w:type="dxa"/>
          </w:tcPr>
          <w:p w14:paraId="390ABDA3"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Καινοτόμες προσεγγίσεις που εμπλέκουν ενεργά τους συμμετέχοντες στη μαθησιακή διαδικασία ή τις προσπάθειες επικοινωνίας. Οι μεθοδολογίες αυτές έχουν σχεδιαστεί ώστε να προάγουν την αλληλεπίδραση, τη συνεργασία και την κριτική σκέψη, ενισχύοντας την αποτελεσματικότητα των εκπαιδευτικών και των επικοινωνιακών πρωτοβουλιών. Χαρακτηριστικά τους είναι η διαδραστικότητα, η συνάφεια, οι μηχανισμοί ανατροφοδότησης και η χρήση της τεχνολογίας.</w:t>
            </w:r>
          </w:p>
        </w:tc>
        <w:tc>
          <w:tcPr>
            <w:tcW w:w="616" w:type="dxa"/>
          </w:tcPr>
          <w:p w14:paraId="6C19E0B1"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27</w:t>
            </w:r>
          </w:p>
        </w:tc>
      </w:tr>
      <w:tr w:rsidR="00F94540" w:rsidRPr="0076580C" w14:paraId="2AFDFA3A" w14:textId="77777777" w:rsidTr="2C6C7817">
        <w:tc>
          <w:tcPr>
            <w:tcW w:w="2062" w:type="dxa"/>
          </w:tcPr>
          <w:p w14:paraId="6E7B925A" w14:textId="77777777" w:rsidR="00F94540" w:rsidRPr="0076580C" w:rsidRDefault="00F94540" w:rsidP="2C6C7817">
            <w:pPr>
              <w:rPr>
                <w:rFonts w:ascii="Times New Roman" w:hAnsi="Times New Roman" w:cs="Times New Roman"/>
                <w:b/>
                <w:bCs/>
                <w:color w:val="3A7C22" w:themeColor="accent6" w:themeShade="BF"/>
                <w:lang w:val="en-GB"/>
              </w:rPr>
            </w:pPr>
            <w:r w:rsidRPr="0076580C">
              <w:rPr>
                <w:rFonts w:ascii="Times New Roman" w:hAnsi="Times New Roman" w:cs="Times New Roman"/>
                <w:b/>
                <w:bCs/>
                <w:color w:val="3A7C22" w:themeColor="accent6" w:themeShade="BF"/>
                <w:lang w:val="el"/>
              </w:rPr>
              <w:t>Μηδενικό όργωμα</w:t>
            </w:r>
          </w:p>
        </w:tc>
        <w:tc>
          <w:tcPr>
            <w:tcW w:w="1469" w:type="dxa"/>
          </w:tcPr>
          <w:p w14:paraId="15AA822E" w14:textId="77777777" w:rsidR="00F94540" w:rsidRPr="0076580C" w:rsidRDefault="00F94540" w:rsidP="00525540">
            <w:pPr>
              <w:jc w:val="both"/>
              <w:rPr>
                <w:rFonts w:ascii="Times New Roman" w:hAnsi="Times New Roman" w:cs="Times New Roman"/>
                <w:lang w:val="en-GB"/>
              </w:rPr>
            </w:pPr>
          </w:p>
        </w:tc>
        <w:tc>
          <w:tcPr>
            <w:tcW w:w="5615" w:type="dxa"/>
          </w:tcPr>
          <w:p w14:paraId="4950DF60"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 xml:space="preserve">Η βασική γεωπονική πρακτική της γεωργίας διατήρησης για τις ετήσιες καλλιέργειες. Ορίζεται ως μέθοδος καλλιέργειας που αποφεύγει να αναταράσσει το έδαφος μέσω του οργώματος. Στην πρακτική του μηδενικού οργώματος, τουλάχιστον το 30% της έκτασης πρέπει να καλύπτεται από φυτικά υπολείμματα αμέσως μετά την εγκατάσταση της καλλιέργειας. Η φύτευση γίνεται με τη χρήση μηχανικού </w:t>
            </w:r>
            <w:r w:rsidRPr="0076580C">
              <w:rPr>
                <w:rFonts w:ascii="Times New Roman" w:hAnsi="Times New Roman" w:cs="Times New Roman"/>
                <w:lang w:val="el"/>
              </w:rPr>
              <w:lastRenderedPageBreak/>
              <w:t>εξοπλισμού ικανού να τοποθετεί τους σπόρους διαπερνώντας τα φυτικά υπολείμματα των προηγούμενων καλλιεργειών.</w:t>
            </w:r>
          </w:p>
          <w:p w14:paraId="3E963659"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Το μηδενικό όργωμα είναι η κυριότερη γεωπονική πρακτική της γεωργίας διατήρησης για τις ετήσιες καλλιέργειες, και εξασφαλίζει το υψηλότερο επίπεδο προστασίας του εδάφους, αφού συνεπάγεται την κατάργηση του μηχανικού οργώματος. Επιπλέον, σε άγονα κλίματα, το μηδενικό όργωμα βοηθά τη συγκράτηση του νερού από το έδαφος, μειώνοντας τις απώλειες που προκύπτουν λόγω της εξάτμισης από την επιφάνεια του εδάφους, οι οποίες συνήθως αυξάνονται από την αναστροφή του εδάφους που προκαλεί το συμβατικό όργωμα.</w:t>
            </w:r>
          </w:p>
        </w:tc>
        <w:tc>
          <w:tcPr>
            <w:tcW w:w="616" w:type="dxa"/>
          </w:tcPr>
          <w:p w14:paraId="23AFD152"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1</w:t>
            </w:r>
          </w:p>
        </w:tc>
      </w:tr>
      <w:tr w:rsidR="00F94540" w:rsidRPr="0076580C" w14:paraId="3A5244D0" w14:textId="77777777" w:rsidTr="2C6C7817">
        <w:tc>
          <w:tcPr>
            <w:tcW w:w="2062" w:type="dxa"/>
          </w:tcPr>
          <w:p w14:paraId="6C7548D3"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Μόλυνση εδάφους</w:t>
            </w:r>
          </w:p>
        </w:tc>
        <w:tc>
          <w:tcPr>
            <w:tcW w:w="1469" w:type="dxa"/>
          </w:tcPr>
          <w:p w14:paraId="6A77CAF9" w14:textId="77777777" w:rsidR="00F94540" w:rsidRPr="0076580C" w:rsidRDefault="00F94540" w:rsidP="00525540">
            <w:pPr>
              <w:jc w:val="both"/>
              <w:rPr>
                <w:rFonts w:ascii="Times New Roman" w:hAnsi="Times New Roman" w:cs="Times New Roman"/>
                <w:lang w:val="en-GB"/>
              </w:rPr>
            </w:pPr>
          </w:p>
        </w:tc>
        <w:tc>
          <w:tcPr>
            <w:tcW w:w="5615" w:type="dxa"/>
          </w:tcPr>
          <w:p w14:paraId="10B2AA45"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παρουσία ενός χημικού στοιχείου ή ουσίας στο έδαφος, σε συγκέντρωση τέτοια ώστε να μπορεί να καταστεί επιβλαβές για την ανθρώπινη υγεία ή το περιβάλλον. Η μόλυνση μπορεί να έχει άμεση τοξική επίδραση στα φυτά, τα ζώα ή τους ανθρώπους που ζουν μέσα ή επάνω σε αυτό, ή τρέφονται από αυτό, αλλά και έμμεση τοξική επίδραση όταν συσσωρεύεται στη συνολική τροφική αλυσίδα.</w:t>
            </w:r>
          </w:p>
        </w:tc>
        <w:tc>
          <w:tcPr>
            <w:tcW w:w="616" w:type="dxa"/>
          </w:tcPr>
          <w:p w14:paraId="313ADD8D"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2, 4</w:t>
            </w:r>
          </w:p>
        </w:tc>
      </w:tr>
      <w:tr w:rsidR="00F94540" w:rsidRPr="0076580C" w14:paraId="6E172118" w14:textId="77777777" w:rsidTr="2C6C7817">
        <w:tc>
          <w:tcPr>
            <w:tcW w:w="2062" w:type="dxa"/>
          </w:tcPr>
          <w:p w14:paraId="0126AA32"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Μυκόρριζες</w:t>
            </w:r>
          </w:p>
        </w:tc>
        <w:tc>
          <w:tcPr>
            <w:tcW w:w="1469" w:type="dxa"/>
          </w:tcPr>
          <w:p w14:paraId="435BF058" w14:textId="77777777" w:rsidR="00F94540" w:rsidRPr="0076580C" w:rsidRDefault="00F94540" w:rsidP="00525540">
            <w:pPr>
              <w:jc w:val="both"/>
              <w:rPr>
                <w:rFonts w:ascii="Times New Roman" w:hAnsi="Times New Roman" w:cs="Times New Roman"/>
                <w:lang w:val="en-GB"/>
              </w:rPr>
            </w:pPr>
          </w:p>
        </w:tc>
        <w:tc>
          <w:tcPr>
            <w:tcW w:w="5615" w:type="dxa"/>
          </w:tcPr>
          <w:p w14:paraId="392031F1"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Κυριολεκτικά σημαίνει «ρίζες μυκήτων» και αναφέρεται στη συμβιωτική (αμοιβαία ωφέλιμη) σχέση ανάμεσα στον μύκητα και τις ρίζες των φυτών. Ο μύκητας παρέχει νερό και θρεπτικά συστατικά στις ρίζες των φυτών, ενώ το φυτό προμηθεύει τον μύκητα με υδατάνθρακες. Οι ρίζες των φυτών εκμεταλλεύονται, υπό φυσιολογικές συνθήκες, μόλις το 1% του εδαφικού όγκου, αλλά με τη συνένωση αυτή, κατά την οποία οι μύκητες προσκολλώνται στα τοιχώματα των κυττάρων της ρίζας, μπορεί να αξιοποιηθεί περίπου το 20% του εδαφικού όγκου. Πάνω από 80% των φυτών έχουν μυκόρριζες, αλλά αυτοί οι πληθυσμοί μυκήτων μειώνονται από το συμβατικό όργωμα και τη συχνή χρήση αζωτούχων και φωσφορούχων λιπασμάτων.</w:t>
            </w:r>
          </w:p>
        </w:tc>
        <w:tc>
          <w:tcPr>
            <w:tcW w:w="616" w:type="dxa"/>
          </w:tcPr>
          <w:p w14:paraId="2328C4EB"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7</w:t>
            </w:r>
          </w:p>
        </w:tc>
      </w:tr>
      <w:tr w:rsidR="00F94540" w:rsidRPr="0076580C" w14:paraId="1450E013" w14:textId="77777777" w:rsidTr="2C6C7817">
        <w:tc>
          <w:tcPr>
            <w:tcW w:w="2062" w:type="dxa"/>
          </w:tcPr>
          <w:p w14:paraId="085D78A1" w14:textId="77777777" w:rsidR="00F94540" w:rsidRPr="0076580C" w:rsidRDefault="00F94540" w:rsidP="00A655ED">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Νέες μέθοδοι επικοινωνίας</w:t>
            </w:r>
          </w:p>
          <w:p w14:paraId="04E962FA" w14:textId="77777777" w:rsidR="00F94540" w:rsidRPr="0076580C" w:rsidRDefault="00F94540" w:rsidP="00A655ED">
            <w:pPr>
              <w:rPr>
                <w:rFonts w:ascii="Times New Roman" w:hAnsi="Times New Roman" w:cs="Times New Roman"/>
                <w:b/>
                <w:color w:val="D86DCB" w:themeColor="accent5" w:themeTint="99"/>
                <w:lang w:val="en-GB"/>
              </w:rPr>
            </w:pPr>
          </w:p>
        </w:tc>
        <w:tc>
          <w:tcPr>
            <w:tcW w:w="1469" w:type="dxa"/>
          </w:tcPr>
          <w:p w14:paraId="0886C3ED" w14:textId="77777777" w:rsidR="00F94540" w:rsidRPr="0076580C" w:rsidRDefault="00F94540" w:rsidP="00A655ED">
            <w:pPr>
              <w:jc w:val="both"/>
              <w:rPr>
                <w:rFonts w:ascii="Times New Roman" w:hAnsi="Times New Roman" w:cs="Times New Roman"/>
                <w:lang w:val="en-GB"/>
              </w:rPr>
            </w:pPr>
          </w:p>
        </w:tc>
        <w:tc>
          <w:tcPr>
            <w:tcW w:w="5615" w:type="dxa"/>
          </w:tcPr>
          <w:p w14:paraId="351709EE"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Καινοτόμες στρατηγικές και τεχνολογίες που διευκολύνουν την ανταλλαγή πληροφοριών μεταξύ ατόμων, οργανισμών και του κοινού. Οι μέθοδοι αυτές συμπεριλαμβάνουν ποικίλα ψηφιακά εργαλεία και πλατφόρμες που βελτιώνουν τη διάδραση, τη συμμετοχή, και την προσβασιμότητα σε διάφορα πλαίσια, ειδικά στην εκπαίδευση και την επικοινωνία.</w:t>
            </w:r>
          </w:p>
        </w:tc>
        <w:tc>
          <w:tcPr>
            <w:tcW w:w="616" w:type="dxa"/>
          </w:tcPr>
          <w:p w14:paraId="4FE4B717"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24,25, 26, 27</w:t>
            </w:r>
          </w:p>
        </w:tc>
      </w:tr>
      <w:tr w:rsidR="00F94540" w:rsidRPr="0076580C" w14:paraId="25E9865C" w14:textId="77777777" w:rsidTr="2C6C7817">
        <w:tc>
          <w:tcPr>
            <w:tcW w:w="2062" w:type="dxa"/>
          </w:tcPr>
          <w:p w14:paraId="7DB0EFE5" w14:textId="77777777" w:rsidR="00F94540" w:rsidRPr="00F94540" w:rsidRDefault="00F94540" w:rsidP="002A67F8">
            <w:pPr>
              <w:rPr>
                <w:rFonts w:ascii="Times New Roman" w:hAnsi="Times New Roman" w:cs="Times New Roman"/>
                <w:b/>
                <w:color w:val="3A7C22" w:themeColor="accent6" w:themeShade="BF"/>
                <w:lang w:val="el-GR"/>
              </w:rPr>
            </w:pPr>
            <w:r w:rsidRPr="0076580C">
              <w:rPr>
                <w:rFonts w:ascii="Times New Roman" w:hAnsi="Times New Roman" w:cs="Times New Roman"/>
                <w:b/>
                <w:color w:val="3A7C22" w:themeColor="accent6" w:themeShade="BF"/>
                <w:lang w:val="el"/>
              </w:rPr>
              <w:t>Νερό διαθέσιμο για τα φυτά</w:t>
            </w:r>
          </w:p>
        </w:tc>
        <w:tc>
          <w:tcPr>
            <w:tcW w:w="1469" w:type="dxa"/>
          </w:tcPr>
          <w:p w14:paraId="07F030D6" w14:textId="77777777" w:rsidR="00F94540" w:rsidRPr="00F94540" w:rsidRDefault="00F94540" w:rsidP="00525540">
            <w:pPr>
              <w:jc w:val="both"/>
              <w:rPr>
                <w:rFonts w:ascii="Times New Roman" w:hAnsi="Times New Roman" w:cs="Times New Roman"/>
                <w:lang w:val="el-GR"/>
              </w:rPr>
            </w:pPr>
          </w:p>
        </w:tc>
        <w:tc>
          <w:tcPr>
            <w:tcW w:w="5615" w:type="dxa"/>
          </w:tcPr>
          <w:p w14:paraId="248E32F9"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 xml:space="preserve">Η συνολική ποσότητα νερού που είναι διαθέσιμη για εξατμισοδιαπνοή στο ριζικό σύστημα. Πρόκειται για νερό που συγκρατείται από το έδαφος ανάμεσα στην κατάσταση της αγροϋδροχωρητικότητας και του σημείου μόνιμου μαρασμού. Συνήθως εκφράζεται σε mm. Όσο περισσότερο νερό είναι διαθέσιμο για τα φυτά, τόσο αυξάνεται η παραγωγικότητα και η βιολογική δραστηριότητα του εδάφους. </w:t>
            </w:r>
          </w:p>
          <w:p w14:paraId="7E463AE4"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Γραφική αναπαράσταση της επίδρασης του μεγέθους των εδαφικών κόκκων στο δυναμικό νερού διαθέσιμου για τα φυτά, σύμφωνα με τον Hantley (2023; 5)</w:t>
            </w:r>
          </w:p>
          <w:p w14:paraId="674E451F" w14:textId="77777777" w:rsidR="00F94540" w:rsidRPr="00F94540" w:rsidRDefault="00F94540" w:rsidP="00525540">
            <w:pPr>
              <w:jc w:val="both"/>
              <w:rPr>
                <w:rFonts w:ascii="Times New Roman" w:hAnsi="Times New Roman" w:cs="Times New Roman"/>
                <w:lang w:val="el-GR"/>
              </w:rPr>
            </w:pPr>
          </w:p>
          <w:p w14:paraId="40BE9FB0" w14:textId="77777777" w:rsidR="00F94540" w:rsidRPr="0076580C" w:rsidRDefault="00F94540" w:rsidP="00525540">
            <w:pPr>
              <w:jc w:val="both"/>
              <w:rPr>
                <w:rFonts w:ascii="Times New Roman" w:hAnsi="Times New Roman" w:cs="Times New Roman"/>
                <w:lang w:val="en-GB"/>
              </w:rPr>
            </w:pPr>
            <w:r w:rsidRPr="0076580C">
              <w:rPr>
                <w:rFonts w:ascii="Times New Roman" w:hAnsi="Times New Roman" w:cs="Times New Roman"/>
                <w:noProof/>
                <w:lang w:val="el"/>
              </w:rPr>
              <w:lastRenderedPageBreak/>
              <w:drawing>
                <wp:inline distT="0" distB="0" distL="0" distR="0" wp14:anchorId="03E55602" wp14:editId="10214420">
                  <wp:extent cx="3428736" cy="2879187"/>
                  <wp:effectExtent l="0" t="0" r="0" b="0"/>
                  <wp:docPr id="64973956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8819" cy="2896051"/>
                          </a:xfrm>
                          <a:prstGeom prst="rect">
                            <a:avLst/>
                          </a:prstGeom>
                        </pic:spPr>
                      </pic:pic>
                    </a:graphicData>
                  </a:graphic>
                </wp:inline>
              </w:drawing>
            </w:r>
          </w:p>
          <w:p w14:paraId="6C00EC37" w14:textId="77777777" w:rsidR="00F94540" w:rsidRPr="0076580C" w:rsidRDefault="00F94540" w:rsidP="00525540">
            <w:pPr>
              <w:jc w:val="both"/>
              <w:rPr>
                <w:rFonts w:ascii="Times New Roman" w:hAnsi="Times New Roman" w:cs="Times New Roman"/>
                <w:lang w:val="en-GB"/>
              </w:rPr>
            </w:pPr>
            <w:r w:rsidRPr="0076580C">
              <w:rPr>
                <w:rFonts w:ascii="Times New Roman" w:hAnsi="Times New Roman" w:cs="Times New Roman"/>
                <w:color w:val="000000" w:themeColor="text1"/>
                <w:shd w:val="clear" w:color="auto" w:fill="FFFFFF"/>
                <w:lang w:val="el"/>
              </w:rPr>
              <w:t xml:space="preserve">Πηγή: Huntley (2023). Springer, Cham. </w:t>
            </w:r>
            <w:r>
              <w:fldChar w:fldCharType="begin"/>
            </w:r>
            <w:r>
              <w:instrText>HYPERLINK "https://doi.org/10.1007/978-3-031-18923-4_6"</w:instrText>
            </w:r>
            <w:r>
              <w:fldChar w:fldCharType="separate"/>
            </w:r>
            <w:r w:rsidRPr="0076580C">
              <w:rPr>
                <w:rStyle w:val="Hyperlink"/>
                <w:rFonts w:ascii="Times New Roman" w:hAnsi="Times New Roman" w:cs="Times New Roman"/>
                <w:color w:val="000000" w:themeColor="text1"/>
                <w:shd w:val="clear" w:color="auto" w:fill="FFFFFF"/>
                <w:lang w:val="el"/>
              </w:rPr>
              <w:t>https://doi.org/10.1007/978-3-031-18923-4_6</w:t>
            </w:r>
            <w:r>
              <w:fldChar w:fldCharType="end"/>
            </w:r>
            <w:r w:rsidRPr="0076580C">
              <w:rPr>
                <w:rStyle w:val="Hyperlink"/>
                <w:rFonts w:ascii="Times New Roman" w:hAnsi="Times New Roman" w:cs="Times New Roman"/>
                <w:color w:val="000000" w:themeColor="text1"/>
                <w:shd w:val="clear" w:color="auto" w:fill="FFFFFF"/>
                <w:lang w:val="el"/>
              </w:rPr>
              <w:t>,</w:t>
            </w:r>
            <w:r w:rsidRPr="0076580C">
              <w:rPr>
                <w:rStyle w:val="Hyperlink"/>
                <w:color w:val="000000" w:themeColor="text1"/>
                <w:shd w:val="clear" w:color="auto" w:fill="FFFFFF"/>
                <w:lang w:val="el"/>
              </w:rPr>
              <w:t xml:space="preserve"> </w:t>
            </w:r>
            <w:hyperlink r:id="rId13" w:history="1">
              <w:r w:rsidRPr="0076580C">
                <w:rPr>
                  <w:rStyle w:val="Hyperlink"/>
                  <w:rFonts w:ascii="Times New Roman" w:hAnsi="Times New Roman" w:cs="Times New Roman"/>
                  <w:lang w:val="el"/>
                </w:rPr>
                <w:t>https://link.springer.com/chapter/10.1007/978-3-031-18923-4_6/figures/4</w:t>
              </w:r>
            </w:hyperlink>
          </w:p>
        </w:tc>
        <w:tc>
          <w:tcPr>
            <w:tcW w:w="616" w:type="dxa"/>
          </w:tcPr>
          <w:p w14:paraId="7A72EC8B"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3, 4, 5</w:t>
            </w:r>
          </w:p>
        </w:tc>
      </w:tr>
      <w:tr w:rsidR="00F94540" w:rsidRPr="0076580C" w14:paraId="3BE5F045" w14:textId="77777777" w:rsidTr="2C6C7817">
        <w:tc>
          <w:tcPr>
            <w:tcW w:w="2062" w:type="dxa"/>
          </w:tcPr>
          <w:p w14:paraId="0AD446A0"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Οικοσυστημικές υπηρεσίες</w:t>
            </w:r>
          </w:p>
        </w:tc>
        <w:tc>
          <w:tcPr>
            <w:tcW w:w="1469" w:type="dxa"/>
          </w:tcPr>
          <w:p w14:paraId="0CA61B61" w14:textId="77777777" w:rsidR="00F94540" w:rsidRPr="0076580C" w:rsidRDefault="00F94540" w:rsidP="002A67F8">
            <w:pPr>
              <w:jc w:val="both"/>
              <w:rPr>
                <w:rFonts w:ascii="Times New Roman" w:hAnsi="Times New Roman" w:cs="Times New Roman"/>
                <w:lang w:val="en-GB"/>
              </w:rPr>
            </w:pPr>
          </w:p>
        </w:tc>
        <w:tc>
          <w:tcPr>
            <w:tcW w:w="5615" w:type="dxa"/>
          </w:tcPr>
          <w:p w14:paraId="5B751501"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Οι τρόποι συνεισφοράς των οικοσυστημάτων στις οικονομικές και λοιπές ανθρώπινες δραστηριότητες. Οι οικοσυστημικές υπηρεσίες μπορούν να ταξινομηθούν ευρέως σε τέσσερις κατηγορίες:</w:t>
            </w:r>
          </w:p>
          <w:p w14:paraId="35B3AD1E" w14:textId="77777777" w:rsidR="00F94540" w:rsidRPr="0076580C" w:rsidRDefault="00F94540" w:rsidP="00373999">
            <w:pPr>
              <w:pStyle w:val="ListParagraph"/>
              <w:numPr>
                <w:ilvl w:val="0"/>
                <w:numId w:val="4"/>
              </w:numPr>
              <w:ind w:left="360"/>
              <w:jc w:val="both"/>
              <w:rPr>
                <w:rFonts w:ascii="Times New Roman" w:hAnsi="Times New Roman" w:cs="Times New Roman"/>
                <w:lang w:val="el-GR"/>
              </w:rPr>
            </w:pPr>
            <w:r w:rsidRPr="0076580C">
              <w:rPr>
                <w:rFonts w:ascii="Times New Roman" w:hAnsi="Times New Roman" w:cs="Times New Roman"/>
                <w:lang w:val="el"/>
              </w:rPr>
              <w:t xml:space="preserve">Προμηθευτικές υπηρεσίες, οι οποίες αντιπροσωπεύουν τις υλικές και ενεργειακές συνεισφορές που παράγονται από ένα οικοσύστημα ή μέσα σε αυτό (π.χ. φυτά με φαρμακευτικές ιδιότητες). </w:t>
            </w:r>
          </w:p>
          <w:p w14:paraId="49052500" w14:textId="77777777" w:rsidR="00F94540" w:rsidRPr="0076580C" w:rsidRDefault="00F94540" w:rsidP="00CB5EC8">
            <w:pPr>
              <w:pStyle w:val="ListParagraph"/>
              <w:numPr>
                <w:ilvl w:val="0"/>
                <w:numId w:val="4"/>
              </w:numPr>
              <w:ind w:left="360"/>
              <w:jc w:val="both"/>
              <w:rPr>
                <w:rFonts w:ascii="Times New Roman" w:hAnsi="Times New Roman" w:cs="Times New Roman"/>
                <w:lang w:val="el-GR"/>
              </w:rPr>
            </w:pPr>
            <w:r w:rsidRPr="0076580C">
              <w:rPr>
                <w:rFonts w:ascii="Times New Roman" w:hAnsi="Times New Roman" w:cs="Times New Roman"/>
                <w:lang w:val="el"/>
              </w:rPr>
              <w:t xml:space="preserve">Ρυθμιστικές υπηρεσίες, οι οποίες προκύπτουν από την ικανότητα των οικοσυστημάτων να ρυθμίζουν τους κλιματικούς, υδρολογικούς και βιοχημικούς κύκλους, τις διεργασίες που συντελούνται στην επιφάνεια της Γης, καθώς και μία πλειάδα βιολογικών διεργασιών. </w:t>
            </w:r>
          </w:p>
          <w:p w14:paraId="65694751" w14:textId="77777777" w:rsidR="00F94540" w:rsidRPr="0076580C" w:rsidRDefault="00F94540" w:rsidP="00CB5EC8">
            <w:pPr>
              <w:pStyle w:val="ListParagraph"/>
              <w:numPr>
                <w:ilvl w:val="0"/>
                <w:numId w:val="4"/>
              </w:numPr>
              <w:ind w:left="360"/>
              <w:jc w:val="both"/>
              <w:rPr>
                <w:rFonts w:ascii="Times New Roman" w:hAnsi="Times New Roman" w:cs="Times New Roman"/>
                <w:lang w:val="el-GR"/>
              </w:rPr>
            </w:pPr>
            <w:r w:rsidRPr="0076580C">
              <w:rPr>
                <w:rFonts w:ascii="Times New Roman" w:hAnsi="Times New Roman" w:cs="Times New Roman"/>
                <w:lang w:val="el"/>
              </w:rPr>
              <w:t>Πολιτισμικές υπηρεσίες, οι οποίες δημιουργούνται από τα φυσικά περιβάλλοντα, τις τοποθεσίες ή τις καταστάσεις που γεννούν πνευματικά και συμβολικά οφέλη· οι άνθρωποι καρπώνονται τα οφέλη αυτά των οικοσυστημάτων μέσω της αναψυχής, της ανάπτυξης γνώσεων, της χαλάρωσης και της διανοητικής ενδοσκόπησης.</w:t>
            </w:r>
          </w:p>
          <w:p w14:paraId="12E1D1DC" w14:textId="77777777" w:rsidR="00F94540" w:rsidRPr="0076580C" w:rsidRDefault="00F94540" w:rsidP="00373999">
            <w:pPr>
              <w:pStyle w:val="ListParagraph"/>
              <w:numPr>
                <w:ilvl w:val="0"/>
                <w:numId w:val="4"/>
              </w:numPr>
              <w:ind w:left="360"/>
              <w:jc w:val="both"/>
              <w:rPr>
                <w:rFonts w:ascii="Times New Roman" w:hAnsi="Times New Roman" w:cs="Times New Roman"/>
                <w:lang w:val="el-GR"/>
              </w:rPr>
            </w:pPr>
            <w:r w:rsidRPr="0076580C">
              <w:rPr>
                <w:rFonts w:ascii="Times New Roman" w:hAnsi="Times New Roman" w:cs="Times New Roman"/>
                <w:lang w:val="el"/>
              </w:rPr>
              <w:t>Υποστηρικτικές υπηρεσίες, οι οποίες είναι οι θεμελιώδεις φυσικές διεργασίες που συντηρούν τις προϋποθέσεις για την ύπαρξη ζωής στη Γη και για όλες τις υπόλοιπες οικοσυστημικές υπηρεσίες (προμηθευτικές, ρυθμιστικές και πολιτισμικές). Αυτές περιλαμβάνουν τον σχηματισμό του εδάφους, την ανακύκλωση των θρεπτικών συστατικών, την πρωτογενή παραγωγή, τον κύκλο του νερού και την παροχή οικοτόπων.</w:t>
            </w:r>
          </w:p>
        </w:tc>
        <w:tc>
          <w:tcPr>
            <w:tcW w:w="616" w:type="dxa"/>
          </w:tcPr>
          <w:p w14:paraId="7C3C99D1"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1, 43</w:t>
            </w:r>
          </w:p>
        </w:tc>
      </w:tr>
      <w:tr w:rsidR="00F94540" w:rsidRPr="0076580C" w14:paraId="27B9E483" w14:textId="77777777" w:rsidTr="2C6C7817">
        <w:tc>
          <w:tcPr>
            <w:tcW w:w="2062" w:type="dxa"/>
          </w:tcPr>
          <w:p w14:paraId="7F3F5EF4"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Οικοσυστημικές υπηρεσίες του εδάφους</w:t>
            </w:r>
          </w:p>
        </w:tc>
        <w:tc>
          <w:tcPr>
            <w:tcW w:w="1469" w:type="dxa"/>
          </w:tcPr>
          <w:p w14:paraId="3D2AB951" w14:textId="77777777" w:rsidR="00F94540" w:rsidRPr="0076580C" w:rsidRDefault="00F94540" w:rsidP="00525540">
            <w:pPr>
              <w:jc w:val="both"/>
              <w:rPr>
                <w:rFonts w:ascii="Times New Roman" w:hAnsi="Times New Roman" w:cs="Times New Roman"/>
                <w:lang w:val="en-GB"/>
              </w:rPr>
            </w:pPr>
          </w:p>
        </w:tc>
        <w:tc>
          <w:tcPr>
            <w:tcW w:w="5615" w:type="dxa"/>
          </w:tcPr>
          <w:p w14:paraId="2B1429E0"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Το υποσύνολο οικοσυστημικών υπηρεσιών που σχετίζονται με το έδαφος, εκείνων δηλαδή που ελέγχονται ή παρέχονται, με άμεσο και ποσοτικά μετρήσιμο τρόπο, από τα εδάφη και από τις χημικές, φυσικές και βιολογικές τους ιδιότητες, διεργασίες και λειτουργίες.</w:t>
            </w:r>
          </w:p>
        </w:tc>
        <w:tc>
          <w:tcPr>
            <w:tcW w:w="616" w:type="dxa"/>
          </w:tcPr>
          <w:p w14:paraId="3F973ADC"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2</w:t>
            </w:r>
          </w:p>
        </w:tc>
      </w:tr>
      <w:tr w:rsidR="00F94540" w:rsidRPr="0076580C" w14:paraId="4D3FA199" w14:textId="77777777" w:rsidTr="2C6C7817">
        <w:tc>
          <w:tcPr>
            <w:tcW w:w="2062" w:type="dxa"/>
          </w:tcPr>
          <w:p w14:paraId="21804038" w14:textId="77777777" w:rsidR="00F94540" w:rsidRPr="0076580C" w:rsidRDefault="00F94540" w:rsidP="00A655ED">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lastRenderedPageBreak/>
              <w:t>Ολιστική προσέγγιση</w:t>
            </w:r>
          </w:p>
        </w:tc>
        <w:tc>
          <w:tcPr>
            <w:tcW w:w="1469" w:type="dxa"/>
          </w:tcPr>
          <w:p w14:paraId="502C7AE3" w14:textId="77777777" w:rsidR="00F94540" w:rsidRPr="0076580C" w:rsidRDefault="00F94540" w:rsidP="00A655ED">
            <w:pPr>
              <w:jc w:val="both"/>
              <w:rPr>
                <w:rFonts w:ascii="Times New Roman" w:hAnsi="Times New Roman" w:cs="Times New Roman"/>
                <w:lang w:val="en-GB"/>
              </w:rPr>
            </w:pPr>
          </w:p>
        </w:tc>
        <w:tc>
          <w:tcPr>
            <w:tcW w:w="5615" w:type="dxa"/>
          </w:tcPr>
          <w:p w14:paraId="5573286F"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 xml:space="preserve">Μεθοδολογία που ασχολείται με το σύστημα συνολικά αντί να εστιάζει αποκλειστικά σε μεμονωμένα στοιχεία του. Η προσέγγιση αυτή δίνει έμφαση στην αλληλεπίδραση των διαφόρων στοιχείων ενός συστήματος μεταξύ τους, αναγνωρίζοντας ότι οι αλλαγές σε έναν τομέα μπορούν να επηρεάσουν σημαντικά έναν άλλο. Μία ολιστική προσέγγιση ενσωματώνει διάφορες οπτικές και επιστημονικούς τομείς ώστε να εξασφαλίζει μία πληρέστερη κατανόηση ενός προβλήματος και του πλαισίου του. Η μεθοδολογία αυτή προωθεί τη συνεργασία μεταξύ των εμπλεκομένων και ενθαρρύνει λύσεις που είναι εξίσου βιώσιμες και αποτελεσματικές σε διάφορους τομείς. Συχνά εφαρμόζεται σε πεδία όπως η υγεία, η εκπαίδευση, η περιβαλλοντική επιστήμη και η κοινωνική πολιτική. </w:t>
            </w:r>
          </w:p>
        </w:tc>
        <w:tc>
          <w:tcPr>
            <w:tcW w:w="616" w:type="dxa"/>
          </w:tcPr>
          <w:p w14:paraId="3DE31F96"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Loess</w:t>
            </w:r>
          </w:p>
        </w:tc>
      </w:tr>
      <w:tr w:rsidR="00F94540" w:rsidRPr="0076580C" w14:paraId="43DD48E1" w14:textId="77777777" w:rsidTr="2C6C7817">
        <w:tc>
          <w:tcPr>
            <w:tcW w:w="2062" w:type="dxa"/>
          </w:tcPr>
          <w:p w14:paraId="1D2737D6"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Οξείδωση</w:t>
            </w:r>
          </w:p>
        </w:tc>
        <w:tc>
          <w:tcPr>
            <w:tcW w:w="1469" w:type="dxa"/>
          </w:tcPr>
          <w:p w14:paraId="0495CAA3" w14:textId="77777777" w:rsidR="00F94540" w:rsidRPr="0076580C" w:rsidRDefault="00F94540" w:rsidP="00525540">
            <w:pPr>
              <w:jc w:val="both"/>
              <w:rPr>
                <w:rFonts w:ascii="Times New Roman" w:hAnsi="Times New Roman" w:cs="Times New Roman"/>
                <w:lang w:val="en-GB"/>
              </w:rPr>
            </w:pPr>
          </w:p>
        </w:tc>
        <w:tc>
          <w:tcPr>
            <w:tcW w:w="5615" w:type="dxa"/>
          </w:tcPr>
          <w:p w14:paraId="018B840B"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προσθήκη οξυγόνου, αφαίρεση υδρογόνου, ή αφαίρεση ηλεκτρονίων από ένα στοιχείο ή μία ένωση. Στο περιβάλλον, η οργανική ύλη μετατρέπεται σε σταθερότερες ουσίες μέσω της οξείδωσης. Η οξείδωση είναι το αντίθετο της αναγωγής. Η οξείδωση της οργανικής ύλης αποκαλείται «καύση», ενώ του σιδήρου «σκουριά».</w:t>
            </w:r>
          </w:p>
        </w:tc>
        <w:tc>
          <w:tcPr>
            <w:tcW w:w="616" w:type="dxa"/>
          </w:tcPr>
          <w:p w14:paraId="60554FA5"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767164FF" w14:textId="77777777" w:rsidTr="2C6C7817">
        <w:tc>
          <w:tcPr>
            <w:tcW w:w="2062" w:type="dxa"/>
          </w:tcPr>
          <w:p w14:paraId="1B41C02C" w14:textId="77777777" w:rsidR="00F94540" w:rsidRPr="0076580C" w:rsidRDefault="00F94540" w:rsidP="4F734429">
            <w:pPr>
              <w:rPr>
                <w:rFonts w:ascii="Times New Roman" w:hAnsi="Times New Roman" w:cs="Times New Roman"/>
                <w:b/>
                <w:bCs/>
                <w:color w:val="3A7C22" w:themeColor="accent6" w:themeShade="BF"/>
                <w:lang w:val="en-GB"/>
              </w:rPr>
            </w:pPr>
            <w:r w:rsidRPr="0076580C">
              <w:rPr>
                <w:rFonts w:ascii="Times New Roman" w:hAnsi="Times New Roman" w:cs="Times New Roman"/>
                <w:b/>
                <w:bCs/>
                <w:color w:val="3A7C22" w:themeColor="accent6" w:themeShade="BF"/>
                <w:lang w:val="el"/>
              </w:rPr>
              <w:t>Οξίνιση</w:t>
            </w:r>
          </w:p>
        </w:tc>
        <w:tc>
          <w:tcPr>
            <w:tcW w:w="1469" w:type="dxa"/>
          </w:tcPr>
          <w:p w14:paraId="4476290F" w14:textId="77777777" w:rsidR="00F94540" w:rsidRPr="0076580C" w:rsidRDefault="00F94540" w:rsidP="002A67F8">
            <w:pPr>
              <w:jc w:val="both"/>
              <w:rPr>
                <w:rFonts w:ascii="Times New Roman" w:hAnsi="Times New Roman" w:cs="Times New Roman"/>
                <w:lang w:val="en-GB"/>
              </w:rPr>
            </w:pPr>
          </w:p>
        </w:tc>
        <w:tc>
          <w:tcPr>
            <w:tcW w:w="5615" w:type="dxa"/>
          </w:tcPr>
          <w:p w14:paraId="0411EC76" w14:textId="77777777" w:rsidR="00F94540" w:rsidRPr="0076580C" w:rsidRDefault="00F94540" w:rsidP="002A67F8">
            <w:pPr>
              <w:jc w:val="both"/>
              <w:rPr>
                <w:rFonts w:ascii="Times New Roman" w:hAnsi="Times New Roman" w:cs="Times New Roman"/>
                <w:lang w:val="el-GR"/>
              </w:rPr>
            </w:pPr>
            <w:bookmarkStart w:id="2" w:name="_Hlk187700470"/>
            <w:r w:rsidRPr="0076580C">
              <w:rPr>
                <w:rFonts w:ascii="Times New Roman" w:hAnsi="Times New Roman" w:cs="Times New Roman"/>
                <w:lang w:val="el"/>
              </w:rPr>
              <w:t>Η διαδικασία βαθμιαίας αύξησης της συγκέντρωσης ιόντων υδρογόνου στο έδαφος, λόγω της αφαίρεσης των ελαφρά αλκαλικών ιόντων κατά την καλλιέργεια και την απόπλυση των αγρών, και τη χρήση αζωτούχων (Ν) λιπασμάτων που προξενούν οξεοποίηση του εδάφους. Η διαδικασία αυτή επιταχύνεται, ή δεν αντισταθμίζεται επαρκώς, από τα φυσικά συστατικά του εδάφους, μεταξύ των οποίων και το υλικό βάσης.</w:t>
            </w:r>
            <w:bookmarkEnd w:id="2"/>
          </w:p>
        </w:tc>
        <w:tc>
          <w:tcPr>
            <w:tcW w:w="616" w:type="dxa"/>
          </w:tcPr>
          <w:p w14:paraId="3EA90D56"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w:t>
            </w:r>
          </w:p>
        </w:tc>
      </w:tr>
      <w:tr w:rsidR="00F94540" w:rsidRPr="0076580C" w14:paraId="682F2612" w14:textId="77777777" w:rsidTr="2C6C7817">
        <w:tc>
          <w:tcPr>
            <w:tcW w:w="2062" w:type="dxa"/>
          </w:tcPr>
          <w:p w14:paraId="773C72C9"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Οργανικό λίπασμα</w:t>
            </w:r>
          </w:p>
        </w:tc>
        <w:tc>
          <w:tcPr>
            <w:tcW w:w="1469" w:type="dxa"/>
          </w:tcPr>
          <w:p w14:paraId="650C7570" w14:textId="77777777" w:rsidR="00F94540" w:rsidRPr="0076580C" w:rsidRDefault="00F94540" w:rsidP="00525540">
            <w:pPr>
              <w:jc w:val="both"/>
              <w:rPr>
                <w:rFonts w:ascii="Times New Roman" w:hAnsi="Times New Roman" w:cs="Times New Roman"/>
                <w:lang w:val="en-GB"/>
              </w:rPr>
            </w:pPr>
          </w:p>
        </w:tc>
        <w:tc>
          <w:tcPr>
            <w:tcW w:w="5615" w:type="dxa"/>
          </w:tcPr>
          <w:p w14:paraId="2A024399"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 xml:space="preserve">Λιπάσματα αποτελούμενα από φυτικά ή ζωικά υλικά που προκύπτουν από υποπροϊόντα ή τελικά προϊόντα μέσω φυσικών διεργασιών, όπως η ζωική κοπριά και η κομποστοποιημένη οργανική ύλη. </w:t>
            </w:r>
          </w:p>
        </w:tc>
        <w:tc>
          <w:tcPr>
            <w:tcW w:w="616" w:type="dxa"/>
          </w:tcPr>
          <w:p w14:paraId="33E80C5D"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w:t>
            </w:r>
          </w:p>
        </w:tc>
      </w:tr>
      <w:tr w:rsidR="00F94540" w:rsidRPr="0076580C" w14:paraId="440F4576" w14:textId="77777777" w:rsidTr="2C6C7817">
        <w:tc>
          <w:tcPr>
            <w:tcW w:w="2062" w:type="dxa"/>
          </w:tcPr>
          <w:p w14:paraId="73D47C05" w14:textId="77777777" w:rsidR="00F94540" w:rsidRPr="00F94540" w:rsidRDefault="00F94540" w:rsidP="002A67F8">
            <w:pPr>
              <w:rPr>
                <w:rFonts w:ascii="Times New Roman" w:hAnsi="Times New Roman" w:cs="Times New Roman"/>
                <w:b/>
                <w:color w:val="D86DCB" w:themeColor="accent5" w:themeTint="99"/>
                <w:lang w:val="el-GR"/>
              </w:rPr>
            </w:pPr>
            <w:r w:rsidRPr="0076580C">
              <w:rPr>
                <w:rFonts w:ascii="Times New Roman" w:hAnsi="Times New Roman" w:cs="Times New Roman"/>
                <w:b/>
                <w:color w:val="3A7C22" w:themeColor="accent6" w:themeShade="BF"/>
                <w:lang w:val="el"/>
              </w:rPr>
              <w:t>Παγίδευση άνθρακα από το έδαφος</w:t>
            </w:r>
          </w:p>
        </w:tc>
        <w:tc>
          <w:tcPr>
            <w:tcW w:w="1469" w:type="dxa"/>
          </w:tcPr>
          <w:p w14:paraId="39A6B2D8" w14:textId="77777777" w:rsidR="00F94540" w:rsidRPr="00F94540" w:rsidRDefault="00F94540" w:rsidP="00525540">
            <w:pPr>
              <w:jc w:val="both"/>
              <w:rPr>
                <w:rFonts w:ascii="Times New Roman" w:hAnsi="Times New Roman" w:cs="Times New Roman"/>
                <w:lang w:val="el-GR"/>
              </w:rPr>
            </w:pPr>
          </w:p>
        </w:tc>
        <w:tc>
          <w:tcPr>
            <w:tcW w:w="5615" w:type="dxa"/>
          </w:tcPr>
          <w:p w14:paraId="4B27D904"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ικανότητα του εδάφους να αποθηκεύει άνθρακα σε μη ασταθή μορφή προκειμένου να μειώσει τη συγκέντρωση του CO</w:t>
            </w:r>
            <w:r w:rsidRPr="0076580C">
              <w:rPr>
                <w:rFonts w:ascii="Times New Roman" w:hAnsi="Times New Roman" w:cs="Times New Roman"/>
                <w:vertAlign w:val="subscript"/>
                <w:lang w:val="el"/>
              </w:rPr>
              <w:t>2</w:t>
            </w:r>
            <w:r w:rsidRPr="0076580C">
              <w:rPr>
                <w:rFonts w:ascii="Times New Roman" w:hAnsi="Times New Roman" w:cs="Times New Roman"/>
                <w:lang w:val="el"/>
              </w:rPr>
              <w:t xml:space="preserve"> στην ατμόσφαιρα.</w:t>
            </w:r>
          </w:p>
        </w:tc>
        <w:tc>
          <w:tcPr>
            <w:tcW w:w="616" w:type="dxa"/>
          </w:tcPr>
          <w:p w14:paraId="52BD5268"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45F45C6C" w14:textId="77777777" w:rsidTr="2C6C7817">
        <w:tc>
          <w:tcPr>
            <w:tcW w:w="2062" w:type="dxa"/>
          </w:tcPr>
          <w:p w14:paraId="18E88601" w14:textId="77777777" w:rsidR="00F94540" w:rsidRPr="00F94540" w:rsidRDefault="00F94540" w:rsidP="002A67F8">
            <w:pPr>
              <w:rPr>
                <w:rFonts w:ascii="Times New Roman" w:hAnsi="Times New Roman" w:cs="Times New Roman"/>
                <w:b/>
                <w:color w:val="3A7C22" w:themeColor="accent6" w:themeShade="BF"/>
                <w:lang w:val="el-GR"/>
              </w:rPr>
            </w:pPr>
            <w:r w:rsidRPr="0076580C">
              <w:rPr>
                <w:rFonts w:ascii="Times New Roman" w:hAnsi="Times New Roman" w:cs="Times New Roman"/>
                <w:b/>
                <w:color w:val="3A7C22" w:themeColor="accent6" w:themeShade="BF"/>
                <w:lang w:val="el"/>
              </w:rPr>
              <w:t>Παρακολούθηση της ποιότητας του εδάφους</w:t>
            </w:r>
          </w:p>
        </w:tc>
        <w:tc>
          <w:tcPr>
            <w:tcW w:w="1469" w:type="dxa"/>
          </w:tcPr>
          <w:p w14:paraId="2B698871" w14:textId="77777777" w:rsidR="00F94540" w:rsidRPr="00F94540" w:rsidRDefault="00F94540" w:rsidP="00525540">
            <w:pPr>
              <w:jc w:val="both"/>
              <w:rPr>
                <w:rFonts w:ascii="Times New Roman" w:hAnsi="Times New Roman" w:cs="Times New Roman"/>
                <w:lang w:val="el-GR"/>
              </w:rPr>
            </w:pPr>
          </w:p>
        </w:tc>
        <w:tc>
          <w:tcPr>
            <w:tcW w:w="5615" w:type="dxa"/>
          </w:tcPr>
          <w:p w14:paraId="0AA413BF" w14:textId="77777777" w:rsidR="00F94540" w:rsidRPr="0076580C" w:rsidRDefault="00F94540" w:rsidP="00525540">
            <w:pPr>
              <w:jc w:val="both"/>
              <w:rPr>
                <w:rFonts w:ascii="Times New Roman" w:hAnsi="Times New Roman" w:cs="Times New Roman"/>
                <w:lang w:val="en-GB"/>
              </w:rPr>
            </w:pPr>
            <w:r w:rsidRPr="0076580C">
              <w:rPr>
                <w:rFonts w:ascii="Times New Roman" w:hAnsi="Times New Roman" w:cs="Times New Roman"/>
                <w:lang w:val="el"/>
              </w:rPr>
              <w:t>Παρακολούθηση των τάσεων των ποσοτικών δεικτών ή της λειτουργικής ικανότητας του εδάφους για να προσδιοριστεί η επιτυχία των πρακτικών διαχείρισης ή η ανάγκη για πρόσθετες αλλαγές σε αυτόν τον τομέα. Περιλαμβάνει τη μεθοδική συλλογή, ανάλυση και ερμηνεία δεδομένων από τις ίδιες τοποθεσίες σε βάθος χρόνου. (Συγκρίνετε με την εκτίμηση της ποιότητας.)</w:t>
            </w:r>
          </w:p>
        </w:tc>
        <w:tc>
          <w:tcPr>
            <w:tcW w:w="616" w:type="dxa"/>
          </w:tcPr>
          <w:p w14:paraId="53963ECF"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w:t>
            </w:r>
          </w:p>
        </w:tc>
      </w:tr>
      <w:tr w:rsidR="00F94540" w:rsidRPr="0076580C" w14:paraId="3EA8B476" w14:textId="77777777" w:rsidTr="2C6C7817">
        <w:tc>
          <w:tcPr>
            <w:tcW w:w="2062" w:type="dxa"/>
          </w:tcPr>
          <w:p w14:paraId="4A8A712D" w14:textId="77777777" w:rsidR="00F94540" w:rsidRPr="0076580C" w:rsidRDefault="00F94540" w:rsidP="00A655ED">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Περιβαλλοντικοί ιχνηθέτες</w:t>
            </w:r>
          </w:p>
        </w:tc>
        <w:tc>
          <w:tcPr>
            <w:tcW w:w="1469" w:type="dxa"/>
          </w:tcPr>
          <w:p w14:paraId="3C24B24D" w14:textId="77777777" w:rsidR="00F94540" w:rsidRPr="0076580C" w:rsidRDefault="00F94540" w:rsidP="00A655ED">
            <w:pPr>
              <w:jc w:val="both"/>
              <w:rPr>
                <w:rFonts w:ascii="Times New Roman" w:hAnsi="Times New Roman" w:cs="Times New Roman"/>
                <w:lang w:val="en-GB"/>
              </w:rPr>
            </w:pPr>
          </w:p>
        </w:tc>
        <w:tc>
          <w:tcPr>
            <w:tcW w:w="5615" w:type="dxa"/>
          </w:tcPr>
          <w:p w14:paraId="66D8FD7A"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Πρόκειται για ουσίες που χρησιμοποιούνται για την παρακολούθηση της κίνησης του νερού, των ρυπογόνων ουσιών ή άλλων ουσιών μέσα στο περιβάλλον. Τα σταθερά ισότοπα και τα ευγενή αέρια συνήθως χρησιμοποιούνται ως ιχνηθέτες για τη μελέτη διεργασιών όπως η ροή των υπόγειων υδάτων, η μεταφορά ρυπογόνων ουσιών και οι βιογεωχημικοί κύκλοι.</w:t>
            </w:r>
          </w:p>
          <w:p w14:paraId="2D81126E" w14:textId="77777777" w:rsidR="00F94540" w:rsidRPr="00F94540" w:rsidRDefault="00F94540" w:rsidP="00A655ED">
            <w:pPr>
              <w:jc w:val="both"/>
              <w:rPr>
                <w:rFonts w:ascii="Times New Roman" w:hAnsi="Times New Roman" w:cs="Times New Roman"/>
                <w:lang w:val="el-GR"/>
              </w:rPr>
            </w:pPr>
          </w:p>
        </w:tc>
        <w:tc>
          <w:tcPr>
            <w:tcW w:w="616" w:type="dxa"/>
          </w:tcPr>
          <w:p w14:paraId="4BACC905"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35</w:t>
            </w:r>
          </w:p>
        </w:tc>
      </w:tr>
      <w:tr w:rsidR="00F94540" w:rsidRPr="0076580C" w14:paraId="7E68444F" w14:textId="77777777" w:rsidTr="2C6C7817">
        <w:tc>
          <w:tcPr>
            <w:tcW w:w="2062" w:type="dxa"/>
          </w:tcPr>
          <w:p w14:paraId="691FDF11" w14:textId="77777777" w:rsidR="00F94540" w:rsidRPr="0076580C" w:rsidRDefault="00F94540" w:rsidP="00A655ED">
            <w:pPr>
              <w:rPr>
                <w:rFonts w:ascii="Times New Roman" w:hAnsi="Times New Roman" w:cs="Times New Roman"/>
                <w:b/>
                <w:color w:val="BF4E14" w:themeColor="accent2" w:themeShade="BF"/>
                <w:lang w:val="en-GB"/>
              </w:rPr>
            </w:pPr>
            <w:r w:rsidRPr="0076580C">
              <w:rPr>
                <w:rFonts w:ascii="Times New Roman" w:hAnsi="Times New Roman" w:cs="Times New Roman"/>
                <w:b/>
                <w:color w:val="3A7C22" w:themeColor="accent6" w:themeShade="BF"/>
                <w:lang w:val="el"/>
              </w:rPr>
              <w:t>Πλανητική υγεία</w:t>
            </w:r>
          </w:p>
        </w:tc>
        <w:tc>
          <w:tcPr>
            <w:tcW w:w="1469" w:type="dxa"/>
          </w:tcPr>
          <w:p w14:paraId="06BD84F8" w14:textId="77777777" w:rsidR="00F94540" w:rsidRPr="0076580C" w:rsidRDefault="00F94540" w:rsidP="00A655ED">
            <w:pPr>
              <w:jc w:val="both"/>
              <w:rPr>
                <w:rFonts w:ascii="Times New Roman" w:hAnsi="Times New Roman" w:cs="Times New Roman"/>
                <w:lang w:val="en-GB"/>
              </w:rPr>
            </w:pPr>
          </w:p>
        </w:tc>
        <w:tc>
          <w:tcPr>
            <w:tcW w:w="5615" w:type="dxa"/>
          </w:tcPr>
          <w:p w14:paraId="2FA2BFE3"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 xml:space="preserve">Όσον αφορά την πλανητική υγεία, το έδαφος συνεισφέρει σε πολλές κρίσιμες διεργασίες, μεταξύ άλλων στην παραγωγή της βιομάζας, μέσω της ρύθμισης των αποθεμάτων άνθρακα, της παροχής οικοτόπων στο 25% της παγκόσμιας βιοποικιλότητας, της ανακύκλωσης των θρεπτικών </w:t>
            </w:r>
            <w:r w:rsidRPr="0076580C">
              <w:rPr>
                <w:rFonts w:ascii="Times New Roman" w:hAnsi="Times New Roman" w:cs="Times New Roman"/>
                <w:lang w:val="el"/>
              </w:rPr>
              <w:lastRenderedPageBreak/>
              <w:t>συστατικών από τα οποία εξαρτώνται τα χερσαία οικοσυστήματα, και της ανακύκλωσης του νερού. Η υποβάθμιση του εδάφους βλάπτει άμεσα την πλανητική υγεία και μειώνει την ικανότητά του να υποστηρίζει την υγεία των μελλοντικών γενεών.</w:t>
            </w:r>
          </w:p>
        </w:tc>
        <w:tc>
          <w:tcPr>
            <w:tcW w:w="616" w:type="dxa"/>
          </w:tcPr>
          <w:p w14:paraId="11A83E3C"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12</w:t>
            </w:r>
          </w:p>
        </w:tc>
      </w:tr>
      <w:tr w:rsidR="00F94540" w:rsidRPr="0076580C" w14:paraId="7B3D3EB6" w14:textId="77777777" w:rsidTr="2C6C7817">
        <w:tc>
          <w:tcPr>
            <w:tcW w:w="2062" w:type="dxa"/>
          </w:tcPr>
          <w:p w14:paraId="0111739A" w14:textId="77777777" w:rsidR="00F94540" w:rsidRPr="0076580C" w:rsidRDefault="00F94540" w:rsidP="2C6C7817">
            <w:pPr>
              <w:rPr>
                <w:rFonts w:ascii="Times New Roman" w:eastAsia="Times New Roman" w:hAnsi="Times New Roman" w:cs="Times New Roman"/>
                <w:b/>
                <w:bCs/>
                <w:color w:val="3A7C22" w:themeColor="accent6" w:themeShade="BF"/>
                <w:lang w:val="en-GB"/>
              </w:rPr>
            </w:pPr>
            <w:r w:rsidRPr="0076580C">
              <w:rPr>
                <w:rFonts w:ascii="Times New Roman" w:eastAsia="Times New Roman" w:hAnsi="Times New Roman" w:cs="Times New Roman"/>
                <w:b/>
                <w:bCs/>
                <w:color w:val="3A7C22" w:themeColor="accent6" w:themeShade="BF"/>
                <w:lang w:val="el"/>
              </w:rPr>
              <w:t xml:space="preserve">Πολυτομεακή προσέγγιση </w:t>
            </w:r>
          </w:p>
        </w:tc>
        <w:tc>
          <w:tcPr>
            <w:tcW w:w="1469" w:type="dxa"/>
          </w:tcPr>
          <w:p w14:paraId="158C99D0" w14:textId="77777777" w:rsidR="00F94540" w:rsidRPr="0076580C" w:rsidRDefault="00F94540" w:rsidP="00A655ED">
            <w:pPr>
              <w:jc w:val="both"/>
              <w:rPr>
                <w:rFonts w:ascii="Times New Roman" w:hAnsi="Times New Roman" w:cs="Times New Roman"/>
                <w:lang w:val="en-GB"/>
              </w:rPr>
            </w:pPr>
          </w:p>
        </w:tc>
        <w:tc>
          <w:tcPr>
            <w:tcW w:w="5615" w:type="dxa"/>
          </w:tcPr>
          <w:p w14:paraId="4DF58340"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Η συνεργασία ερευνητών από διαφορετικές επιστήμες για την αντιμετώπιση ενός συγκεκριμένου ζητήματος, κατά την οποία η κάθε επιστήμη συνεισφέρει τις μοναδικές γνώσεις και τεχνικές της, με αποτέλεσμα να είναι εφικτή μία σφαιρικότερη κατανόηση του προβλήματος.</w:t>
            </w:r>
            <w:r w:rsidRPr="0076580C">
              <w:rPr>
                <w:lang w:val="el"/>
              </w:rPr>
              <w:t xml:space="preserve"> </w:t>
            </w:r>
            <w:r w:rsidRPr="0076580C">
              <w:rPr>
                <w:rFonts w:ascii="Times New Roman" w:hAnsi="Times New Roman" w:cs="Times New Roman"/>
                <w:lang w:val="el"/>
              </w:rPr>
              <w:t>Ενέχει χαμηλό επίπεδο ενσωμάτωσης, ενώ οι επιστημονικοί τομείς εργάζονται εκ παραλλήλου.</w:t>
            </w:r>
          </w:p>
        </w:tc>
        <w:tc>
          <w:tcPr>
            <w:tcW w:w="616" w:type="dxa"/>
          </w:tcPr>
          <w:p w14:paraId="5EB9068D"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32, 37</w:t>
            </w:r>
          </w:p>
        </w:tc>
      </w:tr>
      <w:tr w:rsidR="00F94540" w:rsidRPr="0076580C" w14:paraId="0506FAE0" w14:textId="77777777" w:rsidTr="2C6C7817">
        <w:tc>
          <w:tcPr>
            <w:tcW w:w="2062" w:type="dxa"/>
          </w:tcPr>
          <w:p w14:paraId="779BD71B" w14:textId="77777777" w:rsidR="00F94540" w:rsidRPr="0076580C" w:rsidRDefault="00F94540" w:rsidP="00A655ED">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Προσβασιμότητα</w:t>
            </w:r>
          </w:p>
        </w:tc>
        <w:tc>
          <w:tcPr>
            <w:tcW w:w="1469" w:type="dxa"/>
          </w:tcPr>
          <w:p w14:paraId="309824EA" w14:textId="77777777" w:rsidR="00F94540" w:rsidRPr="0076580C" w:rsidRDefault="00F94540" w:rsidP="00A655ED">
            <w:pPr>
              <w:jc w:val="both"/>
              <w:rPr>
                <w:rFonts w:ascii="Times New Roman" w:hAnsi="Times New Roman" w:cs="Times New Roman"/>
                <w:lang w:val="en-GB"/>
              </w:rPr>
            </w:pPr>
          </w:p>
        </w:tc>
        <w:tc>
          <w:tcPr>
            <w:tcW w:w="5615" w:type="dxa"/>
          </w:tcPr>
          <w:p w14:paraId="57CCF375"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Σχεδιασμός προϊόντων, συσκευών, υπηρεσιών ή περιβαλλόντων για ανθρώπους με αναπηρία. Αφορά μεταξύ άλλων την ευκολία με την οποία τα άτομα μπορούν να έχουν πρόσβαση σε διάφορους πόρους και να δρέπουν τα οφέλη τους, μεταξύ άλλων τους φυσικούς χώρους, το ψηφιακό περιεχόμενο και τις υπηρεσίες πληροφόρησης. Η προσβασιμότητα έχει σκοπό να εξασφαλίζει ότι όλα τα άτομα, ασχέτως των ικανοτήτων ή των αναπηριών τους, απολαμβάνουν ίσες ευκαιρίες συμμετοχής στην κοινωνία. Με μία ευρύτερη έννοια, περιλαμβάνει το πόσο εύχρηστο είναι το κάθε περιβάλλον ή υπηρεσία από ανθρώπους με διαφορετικές ανάγκες. Η έννοια αυτή είναι ζωτικής σημασίας σε διάφορα πεδία όπως η αρχιτεκτονική, ο σχεδιασμός ιστοσελίδων, η εκπαίδευση και η δημόσια πολιτική.</w:t>
            </w:r>
          </w:p>
        </w:tc>
        <w:tc>
          <w:tcPr>
            <w:tcW w:w="616" w:type="dxa"/>
          </w:tcPr>
          <w:p w14:paraId="6CA4B029"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30</w:t>
            </w:r>
          </w:p>
        </w:tc>
      </w:tr>
      <w:tr w:rsidR="00F94540" w:rsidRPr="0076580C" w14:paraId="733B1735" w14:textId="77777777" w:rsidTr="2C6C7817">
        <w:tc>
          <w:tcPr>
            <w:tcW w:w="2062" w:type="dxa"/>
          </w:tcPr>
          <w:p w14:paraId="77D31F17" w14:textId="77777777" w:rsidR="00F94540" w:rsidRPr="0076580C" w:rsidRDefault="00F94540" w:rsidP="4F734429">
            <w:pPr>
              <w:rPr>
                <w:rFonts w:ascii="Times New Roman" w:hAnsi="Times New Roman" w:cs="Times New Roman"/>
                <w:b/>
                <w:bCs/>
                <w:color w:val="3A7C22" w:themeColor="accent6" w:themeShade="BF"/>
                <w:lang w:val="en-GB"/>
              </w:rPr>
            </w:pPr>
            <w:r w:rsidRPr="0076580C">
              <w:rPr>
                <w:rFonts w:ascii="Times New Roman" w:hAnsi="Times New Roman" w:cs="Times New Roman"/>
                <w:b/>
                <w:bCs/>
                <w:color w:val="3A7C22" w:themeColor="accent6" w:themeShade="BF"/>
                <w:lang w:val="el"/>
              </w:rPr>
              <w:t>Προσρόφηση</w:t>
            </w:r>
          </w:p>
        </w:tc>
        <w:tc>
          <w:tcPr>
            <w:tcW w:w="1469" w:type="dxa"/>
          </w:tcPr>
          <w:p w14:paraId="795CACA3" w14:textId="77777777" w:rsidR="00F94540" w:rsidRPr="0076580C" w:rsidRDefault="00F94540" w:rsidP="002A67F8">
            <w:pPr>
              <w:jc w:val="both"/>
              <w:rPr>
                <w:rFonts w:ascii="Times New Roman" w:hAnsi="Times New Roman" w:cs="Times New Roman"/>
                <w:lang w:val="en-GB"/>
              </w:rPr>
            </w:pPr>
          </w:p>
        </w:tc>
        <w:tc>
          <w:tcPr>
            <w:tcW w:w="5615" w:type="dxa"/>
          </w:tcPr>
          <w:p w14:paraId="7357F002"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Η διαδικασία της συγκράτησης ατόμων, μορίων ή ιόντων από στερεές επιφάνειες μέσω της δημιουργίας χημικών ή φυσικών δεσμών. Η προσρόφηση βασίζεται στην απορρόφηση ατμών, αερίων και αδιάσπαστων μορίων.</w:t>
            </w:r>
          </w:p>
        </w:tc>
        <w:tc>
          <w:tcPr>
            <w:tcW w:w="616" w:type="dxa"/>
          </w:tcPr>
          <w:p w14:paraId="0F9F743E"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w:t>
            </w:r>
          </w:p>
        </w:tc>
      </w:tr>
      <w:tr w:rsidR="00F94540" w:rsidRPr="0076580C" w14:paraId="61256CF5" w14:textId="77777777" w:rsidTr="2C6C7817">
        <w:tc>
          <w:tcPr>
            <w:tcW w:w="2062" w:type="dxa"/>
          </w:tcPr>
          <w:p w14:paraId="3CF63E4C"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 xml:space="preserve">Προστασία του εδάφους </w:t>
            </w:r>
          </w:p>
        </w:tc>
        <w:tc>
          <w:tcPr>
            <w:tcW w:w="1469" w:type="dxa"/>
          </w:tcPr>
          <w:p w14:paraId="4DC0AEC5" w14:textId="77777777" w:rsidR="00F94540" w:rsidRPr="0076580C" w:rsidRDefault="00F94540" w:rsidP="00525540">
            <w:pPr>
              <w:jc w:val="both"/>
              <w:rPr>
                <w:rFonts w:ascii="Times New Roman" w:hAnsi="Times New Roman" w:cs="Times New Roman"/>
                <w:lang w:val="en-GB"/>
              </w:rPr>
            </w:pPr>
          </w:p>
        </w:tc>
        <w:tc>
          <w:tcPr>
            <w:tcW w:w="5615" w:type="dxa"/>
          </w:tcPr>
          <w:p w14:paraId="73FD8824"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Μία συνειδητή διεργασία που είναι απαραίτητη για τη διατήρηση του εδάφους και των ιδιοτήτων του, η οποία συντελείται σε διάφορα επίπεδα (προσωπικό, τοπικό, εθνικό, ηπειρωτικό) και χρησιμοποιεί πληροφορίες που αποκτώνται από την έρευνα εδάφους για τη βιώσιμη διαχείριση των εδαφών.</w:t>
            </w:r>
          </w:p>
        </w:tc>
        <w:tc>
          <w:tcPr>
            <w:tcW w:w="616" w:type="dxa"/>
          </w:tcPr>
          <w:p w14:paraId="605CBF58"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w:t>
            </w:r>
          </w:p>
        </w:tc>
      </w:tr>
      <w:tr w:rsidR="00F94540" w:rsidRPr="0076580C" w14:paraId="4BAEA458" w14:textId="77777777" w:rsidTr="2C6C7817">
        <w:tc>
          <w:tcPr>
            <w:tcW w:w="2062" w:type="dxa"/>
          </w:tcPr>
          <w:p w14:paraId="73D1D29C"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Ρύπος</w:t>
            </w:r>
          </w:p>
        </w:tc>
        <w:tc>
          <w:tcPr>
            <w:tcW w:w="1469" w:type="dxa"/>
          </w:tcPr>
          <w:p w14:paraId="5389A22E" w14:textId="77777777" w:rsidR="00F94540" w:rsidRPr="0076580C" w:rsidRDefault="00F94540" w:rsidP="00525540">
            <w:pPr>
              <w:jc w:val="both"/>
              <w:rPr>
                <w:rFonts w:ascii="Times New Roman" w:hAnsi="Times New Roman" w:cs="Times New Roman"/>
                <w:lang w:val="en-GB"/>
              </w:rPr>
            </w:pPr>
          </w:p>
        </w:tc>
        <w:tc>
          <w:tcPr>
            <w:tcW w:w="5615" w:type="dxa"/>
          </w:tcPr>
          <w:p w14:paraId="621FB41F"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Ουσία ή ένωση που υπάρχει μέσα στο έδαφος (ή στα υπόγεια ύδατα) η οποία, λόγω των ιδιοτήτων της, της ποσότητας ή της συγκέντρωσής της, έχει αρνητικές επιπτώσεις στη λειτουργία του εδάφους και επηρεάζει δυσμενώς τους οργανισμούς που ζουν σε αυτό αλλά και εκτός αυτού.</w:t>
            </w:r>
          </w:p>
        </w:tc>
        <w:tc>
          <w:tcPr>
            <w:tcW w:w="616" w:type="dxa"/>
          </w:tcPr>
          <w:p w14:paraId="754DFB4D"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2</w:t>
            </w:r>
          </w:p>
        </w:tc>
      </w:tr>
      <w:tr w:rsidR="00F94540" w:rsidRPr="0076580C" w14:paraId="6F449F0A" w14:textId="77777777" w:rsidTr="2C6C7817">
        <w:tc>
          <w:tcPr>
            <w:tcW w:w="2062" w:type="dxa"/>
          </w:tcPr>
          <w:p w14:paraId="05E3A90D"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Συμβατική γεωργία</w:t>
            </w:r>
          </w:p>
        </w:tc>
        <w:tc>
          <w:tcPr>
            <w:tcW w:w="1469" w:type="dxa"/>
          </w:tcPr>
          <w:p w14:paraId="09D90C7A" w14:textId="77777777" w:rsidR="00F94540" w:rsidRPr="0076580C" w:rsidRDefault="00F94540" w:rsidP="002A67F8">
            <w:pPr>
              <w:jc w:val="both"/>
              <w:rPr>
                <w:rFonts w:ascii="Times New Roman" w:hAnsi="Times New Roman" w:cs="Times New Roman"/>
                <w:lang w:val="en-GB"/>
              </w:rPr>
            </w:pPr>
          </w:p>
        </w:tc>
        <w:tc>
          <w:tcPr>
            <w:tcW w:w="5615" w:type="dxa"/>
          </w:tcPr>
          <w:p w14:paraId="66C05300" w14:textId="77777777" w:rsidR="00F94540" w:rsidRPr="0076580C" w:rsidRDefault="00F94540" w:rsidP="002A67F8">
            <w:pPr>
              <w:jc w:val="both"/>
              <w:rPr>
                <w:rFonts w:ascii="Times New Roman" w:hAnsi="Times New Roman" w:cs="Times New Roman"/>
                <w:lang w:val="el-GR"/>
              </w:rPr>
            </w:pPr>
            <w:r w:rsidRPr="0076580C">
              <w:rPr>
                <w:rFonts w:ascii="Times New Roman" w:hAnsi="Times New Roman" w:cs="Times New Roman"/>
                <w:lang w:val="el"/>
              </w:rPr>
              <w:t xml:space="preserve">Μία μέθοδος καλλιέργειας που περιλαμβάνει τη χρήση συνθετικών χημικών λιπασμάτων, παρασιτοκτόνων και ζιζανιοκτόνων (ενίοτε και γενετικά τροποποιημένων οργανισμών), με σκοπό τη μεγιστοποίηση της απόδοσης των καλλιεργειών. Η μέθοδος αυτή επιτρέπει στους αγρούς να εξαρτώνται λιγότερο από πρακτικές καλλιεργητικές (εναλλαγή καλλιεργειών, συμπερίληψη καλλιεργειών που δεσμεύουν το ατμοσφαιρικό άζωτο), βιολογικές και μηχανικές που προάγουν την ανακύκλωση των πόρων, υποστηρίζουν την οικολογική ισορροπία και συντηρούν τη βιοποικιλότητα. Συχνά επιβάλλει μεγάλης κλίμακας μονοκαλλιέργειες (την καλλιέργεια ενός και μόνο φυτού σε μία μεγάλη έκταση) και μηχανικές πρακτικές που </w:t>
            </w:r>
            <w:r w:rsidRPr="0076580C">
              <w:rPr>
                <w:rFonts w:ascii="Times New Roman" w:hAnsi="Times New Roman" w:cs="Times New Roman"/>
                <w:lang w:val="el"/>
              </w:rPr>
              <w:lastRenderedPageBreak/>
              <w:t>αποσκοπούν στην απλούστευση των διαδικασιών και τη μείωση του κόστους εργασίας.</w:t>
            </w:r>
          </w:p>
        </w:tc>
        <w:tc>
          <w:tcPr>
            <w:tcW w:w="616" w:type="dxa"/>
          </w:tcPr>
          <w:p w14:paraId="7B3D070E"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4, 44</w:t>
            </w:r>
          </w:p>
        </w:tc>
      </w:tr>
      <w:tr w:rsidR="00F94540" w:rsidRPr="0076580C" w14:paraId="7AD141A1" w14:textId="77777777" w:rsidTr="2C6C7817">
        <w:tc>
          <w:tcPr>
            <w:tcW w:w="2062" w:type="dxa"/>
          </w:tcPr>
          <w:p w14:paraId="369645AF"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Συμπίεση του εδάφους</w:t>
            </w:r>
          </w:p>
        </w:tc>
        <w:tc>
          <w:tcPr>
            <w:tcW w:w="1469" w:type="dxa"/>
          </w:tcPr>
          <w:p w14:paraId="3DFC1893" w14:textId="77777777" w:rsidR="00F94540" w:rsidRPr="0076580C" w:rsidRDefault="00F94540" w:rsidP="00525540">
            <w:pPr>
              <w:jc w:val="both"/>
              <w:rPr>
                <w:rFonts w:ascii="Times New Roman" w:hAnsi="Times New Roman" w:cs="Times New Roman"/>
                <w:lang w:val="en-GB"/>
              </w:rPr>
            </w:pPr>
          </w:p>
        </w:tc>
        <w:tc>
          <w:tcPr>
            <w:tcW w:w="5615" w:type="dxa"/>
          </w:tcPr>
          <w:p w14:paraId="0B479C9E"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αλλαγή του εδάφους κατά την οποία μειώνεται ο όγκος των πόρων ανάμεσα στα σωματίδια ή τα αδρανή του εδάφους. Εκδηλώνεται ως αύξηση της φαινόμενης πυκνότητας, ενώ σε ένα εντόνως συμπιεσμένο έδαφος μπορεί να μειωθεί σημαντικά η διαπερατότητα και ο αερισμός. Η ανθρωπογενής συμπίεση προξενείται από τη λαθροθηρία (επανειλημμένα ποδοβολητά από τις οπλές των ζώων) ή από τη διάβαση βαρέων μηχανημάτων. Άλλο χαρακτηριστικό παράδειγμα συμπίεσης του εδάφους είναι η σκλήρυνση του εδαφικού ορίζοντα από τον εξοπλισμό άροσης, η οποία προκαλείται κατά το όργωμα και ενδέχεται να επηρεάζει αρνητικά την ανάπτυξη των ριζών και την αποστράγγιση.</w:t>
            </w:r>
          </w:p>
        </w:tc>
        <w:tc>
          <w:tcPr>
            <w:tcW w:w="616" w:type="dxa"/>
          </w:tcPr>
          <w:p w14:paraId="55500B60"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2127973D" w14:textId="77777777" w:rsidTr="2C6C7817">
        <w:tc>
          <w:tcPr>
            <w:tcW w:w="2062" w:type="dxa"/>
          </w:tcPr>
          <w:p w14:paraId="48CFC2EF" w14:textId="77777777" w:rsidR="00F94540" w:rsidRPr="0076580C" w:rsidRDefault="00F94540" w:rsidP="00A655ED">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Τύπος εδάφους</w:t>
            </w:r>
          </w:p>
        </w:tc>
        <w:tc>
          <w:tcPr>
            <w:tcW w:w="1469" w:type="dxa"/>
          </w:tcPr>
          <w:p w14:paraId="657637FE" w14:textId="77777777" w:rsidR="00F94540" w:rsidRPr="0076580C" w:rsidRDefault="00F94540" w:rsidP="00A655ED">
            <w:pPr>
              <w:jc w:val="both"/>
              <w:rPr>
                <w:rFonts w:ascii="Times New Roman" w:hAnsi="Times New Roman" w:cs="Times New Roman"/>
                <w:lang w:val="en-GB"/>
              </w:rPr>
            </w:pPr>
          </w:p>
        </w:tc>
        <w:tc>
          <w:tcPr>
            <w:tcW w:w="5615" w:type="dxa"/>
          </w:tcPr>
          <w:p w14:paraId="034EFE11"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Ο τύπος εδάφους είναι μία εννοιολογική και υπερβολικά γενικευμένη μονάδα που χρησιμοποιείται στην εδαφολογία από πολλά συστήματα ταξινόμησης εδαφών. Ο τύπος εδάφους ορίζεται κυρίως με βάση τα χαρακτηριστικά που προκύπτουν από τις διεργασίες σχηματισμού των εδαφών (εδαφογένεσης). Τα εδάφη που διέπονται από μία συγκεκριμένη αλληλουχία γενετικών οριζόντων και ορισμένες ιδιότητες υπάγονται σε έναν συγκεκριμένο τύπο.</w:t>
            </w:r>
          </w:p>
        </w:tc>
        <w:tc>
          <w:tcPr>
            <w:tcW w:w="616" w:type="dxa"/>
          </w:tcPr>
          <w:p w14:paraId="08759025"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16</w:t>
            </w:r>
          </w:p>
        </w:tc>
      </w:tr>
      <w:tr w:rsidR="00F94540" w:rsidRPr="0076580C" w14:paraId="31789087" w14:textId="77777777" w:rsidTr="2C6C7817">
        <w:tc>
          <w:tcPr>
            <w:tcW w:w="2062" w:type="dxa"/>
          </w:tcPr>
          <w:p w14:paraId="06E1C7AF" w14:textId="77777777" w:rsidR="00F94540" w:rsidRPr="0076580C" w:rsidRDefault="00F94540" w:rsidP="00A655ED">
            <w:pPr>
              <w:rPr>
                <w:rFonts w:ascii="Times New Roman" w:hAnsi="Times New Roman" w:cs="Times New Roman"/>
                <w:lang w:val="en-GB"/>
              </w:rPr>
            </w:pPr>
            <w:r w:rsidRPr="0076580C">
              <w:rPr>
                <w:rFonts w:ascii="Times New Roman" w:hAnsi="Times New Roman" w:cs="Times New Roman"/>
                <w:b/>
                <w:color w:val="3A7C22" w:themeColor="accent6" w:themeShade="BF"/>
                <w:lang w:val="el"/>
              </w:rPr>
              <w:t>Υγεία εδάφους</w:t>
            </w:r>
          </w:p>
        </w:tc>
        <w:tc>
          <w:tcPr>
            <w:tcW w:w="1469" w:type="dxa"/>
          </w:tcPr>
          <w:p w14:paraId="1EB64893" w14:textId="77777777" w:rsidR="00F94540" w:rsidRPr="0076580C" w:rsidRDefault="00F94540" w:rsidP="00525540">
            <w:pPr>
              <w:jc w:val="both"/>
              <w:rPr>
                <w:rFonts w:ascii="Times New Roman" w:hAnsi="Times New Roman" w:cs="Times New Roman"/>
                <w:lang w:val="en-GB"/>
              </w:rPr>
            </w:pPr>
          </w:p>
        </w:tc>
        <w:tc>
          <w:tcPr>
            <w:tcW w:w="5615" w:type="dxa"/>
          </w:tcPr>
          <w:p w14:paraId="520AEFE1"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Το έδαφος αποτελεί τη βάση της τροφής μας κατά 95%. Όταν το έδαφος είναι υγιές, μας παρέχει ουσιώδεις οικοσυστημικές υπηρεσίες όπως το καθαρό νερό και οι οικότοποι που προάγουν τη βιοποικιλότητα. Αποτελεί σημαντική δεξαμενή άνθρακα, η οποία βοηθά την επιβράδυνση της κλιματικής αλλαγής, ενώ ταυτόχρονα αυξάνει την ανθεκτικότητά μας σε ακραία κλιματικά φαινόμενα. Το έδαφος είναι αναπόσπαστο κομμάτι των τοπίων που απολαμβάνουμε όλοι μας και αποτελεί τη βάση της οικονομίας και της ευημερίας μας. Η υγεία του εδάφους είναι η συνεχιζόμενη ικανότητά του να λειτουργεί ως ζωντανό σύστημα ζωτικής σημασίας.</w:t>
            </w:r>
          </w:p>
        </w:tc>
        <w:tc>
          <w:tcPr>
            <w:tcW w:w="616" w:type="dxa"/>
          </w:tcPr>
          <w:p w14:paraId="08A15CFA"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1,46</w:t>
            </w:r>
          </w:p>
        </w:tc>
      </w:tr>
      <w:tr w:rsidR="00F94540" w:rsidRPr="0076580C" w14:paraId="6544C9B7" w14:textId="77777777" w:rsidTr="2C6C7817">
        <w:tc>
          <w:tcPr>
            <w:tcW w:w="2062" w:type="dxa"/>
          </w:tcPr>
          <w:p w14:paraId="794D5D3C"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Υγεία της γης</w:t>
            </w:r>
          </w:p>
        </w:tc>
        <w:tc>
          <w:tcPr>
            <w:tcW w:w="1469" w:type="dxa"/>
          </w:tcPr>
          <w:p w14:paraId="27FED0F7" w14:textId="77777777" w:rsidR="00F94540" w:rsidRPr="0076580C" w:rsidRDefault="00F94540" w:rsidP="00525540">
            <w:pPr>
              <w:jc w:val="both"/>
              <w:rPr>
                <w:rFonts w:ascii="Times New Roman" w:hAnsi="Times New Roman" w:cs="Times New Roman"/>
                <w:lang w:val="en-GB"/>
              </w:rPr>
            </w:pPr>
          </w:p>
        </w:tc>
        <w:tc>
          <w:tcPr>
            <w:tcW w:w="5615" w:type="dxa"/>
          </w:tcPr>
          <w:p w14:paraId="75A36B78"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ικανότητα της γης, με βάση τις δυνατότητές της, να συντηρεί την παροχή οικοσυστημικών υπηρεσιών.</w:t>
            </w:r>
          </w:p>
        </w:tc>
        <w:tc>
          <w:tcPr>
            <w:tcW w:w="616" w:type="dxa"/>
          </w:tcPr>
          <w:p w14:paraId="195ECF56"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w:t>
            </w:r>
          </w:p>
        </w:tc>
      </w:tr>
      <w:tr w:rsidR="00F94540" w:rsidRPr="0076580C" w14:paraId="753DD46C" w14:textId="77777777" w:rsidTr="2C6C7817">
        <w:tc>
          <w:tcPr>
            <w:tcW w:w="2062" w:type="dxa"/>
          </w:tcPr>
          <w:p w14:paraId="1AFB6985"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Υδαρής κοπριά</w:t>
            </w:r>
          </w:p>
        </w:tc>
        <w:tc>
          <w:tcPr>
            <w:tcW w:w="1469" w:type="dxa"/>
          </w:tcPr>
          <w:p w14:paraId="3A0BC658" w14:textId="77777777" w:rsidR="00F94540" w:rsidRPr="0076580C" w:rsidRDefault="00F94540" w:rsidP="00525540">
            <w:pPr>
              <w:jc w:val="both"/>
              <w:rPr>
                <w:rFonts w:ascii="Times New Roman" w:hAnsi="Times New Roman" w:cs="Times New Roman"/>
                <w:lang w:val="en-GB"/>
              </w:rPr>
            </w:pPr>
          </w:p>
        </w:tc>
        <w:tc>
          <w:tcPr>
            <w:tcW w:w="5615" w:type="dxa"/>
          </w:tcPr>
          <w:p w14:paraId="70C4EC31"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υδαρής κοπριά είναι ένα μείγμα ζωικής κοπριάς και νερού, συχνά με την προσθήκη οργανικής ύλης, η οποία έχει ημίρρευστη σύσταση. Συνήθως παράγεται σε κτηνοτροφικές μονάδες, ειδικά κλειστού ή περιορισμένου τύπου, όπως μονάδες γαλακτοπαραγωγής, χοιροτροφικές και πτηνοτροφικές. Η υδαρής κοπριά συλλέγεται από τους χώρους στέγασης των ζώων, αποθηκεύεται σε δεξαμενές, φυσικές λεκάνες ή λάκκους, και εν συνεχεία χρησιμοποιείται σε αγρούς γεωργικής εκμετάλλευσης ως λίπασμα πλούσιο σε θρεπτικά συστατικά.</w:t>
            </w:r>
          </w:p>
        </w:tc>
        <w:tc>
          <w:tcPr>
            <w:tcW w:w="616" w:type="dxa"/>
          </w:tcPr>
          <w:p w14:paraId="4DA605EB"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4, 42</w:t>
            </w:r>
          </w:p>
        </w:tc>
      </w:tr>
      <w:tr w:rsidR="00F94540" w:rsidRPr="0076580C" w14:paraId="4D92929E" w14:textId="77777777" w:rsidTr="2C6C7817">
        <w:tc>
          <w:tcPr>
            <w:tcW w:w="2062" w:type="dxa"/>
          </w:tcPr>
          <w:p w14:paraId="600B1B15"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Υποβάθμιση εδάφους</w:t>
            </w:r>
          </w:p>
        </w:tc>
        <w:tc>
          <w:tcPr>
            <w:tcW w:w="1469" w:type="dxa"/>
          </w:tcPr>
          <w:p w14:paraId="251AEB8B" w14:textId="77777777" w:rsidR="00F94540" w:rsidRPr="0076580C" w:rsidRDefault="00F94540" w:rsidP="00525540">
            <w:pPr>
              <w:jc w:val="both"/>
              <w:rPr>
                <w:rFonts w:ascii="Times New Roman" w:hAnsi="Times New Roman" w:cs="Times New Roman"/>
                <w:lang w:val="en-GB"/>
              </w:rPr>
            </w:pPr>
          </w:p>
        </w:tc>
        <w:tc>
          <w:tcPr>
            <w:tcW w:w="5615" w:type="dxa"/>
          </w:tcPr>
          <w:p w14:paraId="14CAF117"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Αρνητική διεργασία που συχνά επισπεύδεται από τις ανθρώπινες δραστηριότητες (ακατάλληλη χρήση εδάφους και καλλιεργητικές πρακτικές, σφράγιση εδάφους), η οποία οδηγεί στην επιδείνωση των ιδιοτήτων και λειτουργιών του εδάφους ή τη συνολική καταστροφή του, π.χ. συμπίεση, διάβρωση, αλατοποίηση.</w:t>
            </w:r>
          </w:p>
        </w:tc>
        <w:tc>
          <w:tcPr>
            <w:tcW w:w="616" w:type="dxa"/>
          </w:tcPr>
          <w:p w14:paraId="488FBEAB"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2,3</w:t>
            </w:r>
          </w:p>
        </w:tc>
      </w:tr>
      <w:tr w:rsidR="00F94540" w:rsidRPr="0076580C" w14:paraId="1EA30753" w14:textId="77777777" w:rsidTr="2C6C7817">
        <w:tc>
          <w:tcPr>
            <w:tcW w:w="2062" w:type="dxa"/>
          </w:tcPr>
          <w:p w14:paraId="0B0F91D7"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Υπόγεια ύδατα</w:t>
            </w:r>
          </w:p>
        </w:tc>
        <w:tc>
          <w:tcPr>
            <w:tcW w:w="1469" w:type="dxa"/>
          </w:tcPr>
          <w:p w14:paraId="6F5AA1CB" w14:textId="77777777" w:rsidR="00F94540" w:rsidRPr="0076580C" w:rsidRDefault="00F94540" w:rsidP="00525540">
            <w:pPr>
              <w:jc w:val="both"/>
              <w:rPr>
                <w:rFonts w:ascii="Times New Roman" w:hAnsi="Times New Roman" w:cs="Times New Roman"/>
                <w:lang w:val="en-GB"/>
              </w:rPr>
            </w:pPr>
          </w:p>
        </w:tc>
        <w:tc>
          <w:tcPr>
            <w:tcW w:w="5615" w:type="dxa"/>
          </w:tcPr>
          <w:p w14:paraId="02FDEDE6"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 xml:space="preserve">Γλυκό νερό που βρίσκεται κάτω από την επιφάνεια της γης και γεμίζει σε συνεχόμενη ροή τις κοιλότητες του γήινου φλοιού (τους πόρους και τις σχισμές του χωμάτινου, αμμώδους και πετρώδους εδάφους), και το οποίο τροφοδοτεί </w:t>
            </w:r>
            <w:r w:rsidRPr="0076580C">
              <w:rPr>
                <w:rFonts w:ascii="Times New Roman" w:hAnsi="Times New Roman" w:cs="Times New Roman"/>
                <w:lang w:val="el"/>
              </w:rPr>
              <w:lastRenderedPageBreak/>
              <w:t>πηγάδια και πηγές, εκτός από το νερό που βρίσκεται στην ακόρεστη ζώνη (ή ζώνη vadose). Ο ορισμός αφορά όλα τα μόνιμα και προσωρινά αποθέματα νερού που σχηματίζονται τόσο τεχνητά όσο και φυσικά, και επαρκούν σε ποσότητα τουλάχιστον για εποχιακή χρήση. Τα υπόγεια ύδατα αναπληρώνονται, ή επαναφορτίζονται, από τη βροχή και το λιώσιμο του χιονιού, ανάλογα με τις κλιματικές συνθήκες. Συνήθως μπορούν να ανακτηθούν από υπόγειους σχηματισμούς, ή διαμέσου αυτών.</w:t>
            </w:r>
          </w:p>
        </w:tc>
        <w:tc>
          <w:tcPr>
            <w:tcW w:w="616" w:type="dxa"/>
          </w:tcPr>
          <w:p w14:paraId="629C3B7D"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4</w:t>
            </w:r>
          </w:p>
        </w:tc>
      </w:tr>
      <w:tr w:rsidR="00F94540" w:rsidRPr="0076580C" w14:paraId="0E6F4B98" w14:textId="77777777" w:rsidTr="2C6C7817">
        <w:tc>
          <w:tcPr>
            <w:tcW w:w="2062" w:type="dxa"/>
          </w:tcPr>
          <w:p w14:paraId="6F5CCE9F"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Υπόλειμμα</w:t>
            </w:r>
          </w:p>
        </w:tc>
        <w:tc>
          <w:tcPr>
            <w:tcW w:w="1469" w:type="dxa"/>
          </w:tcPr>
          <w:p w14:paraId="566F90F0" w14:textId="77777777" w:rsidR="00F94540" w:rsidRPr="0076580C" w:rsidRDefault="00F94540" w:rsidP="00525540">
            <w:pPr>
              <w:jc w:val="both"/>
              <w:rPr>
                <w:rFonts w:ascii="Times New Roman" w:hAnsi="Times New Roman" w:cs="Times New Roman"/>
                <w:lang w:val="en-GB"/>
              </w:rPr>
            </w:pPr>
          </w:p>
        </w:tc>
        <w:tc>
          <w:tcPr>
            <w:tcW w:w="5615" w:type="dxa"/>
          </w:tcPr>
          <w:p w14:paraId="111825AD"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Κάθε οργανική ύλη που προέρχεται από την παραγωγή, κατεργασία ή κατανάλωση φυτών, από ρίζες, καλάμια σιτηρών, άχυρο και φύλλα, έως βιομηχανικά και αστικά «απόβλητα».</w:t>
            </w:r>
          </w:p>
        </w:tc>
        <w:tc>
          <w:tcPr>
            <w:tcW w:w="616" w:type="dxa"/>
          </w:tcPr>
          <w:p w14:paraId="666A1332"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45041971" w14:textId="77777777" w:rsidTr="2C6C7817">
        <w:tc>
          <w:tcPr>
            <w:tcW w:w="2062" w:type="dxa"/>
          </w:tcPr>
          <w:p w14:paraId="5EB3C54F"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Φορείς γνώσης και εκπαίδευσης</w:t>
            </w:r>
          </w:p>
        </w:tc>
        <w:tc>
          <w:tcPr>
            <w:tcW w:w="1469" w:type="dxa"/>
          </w:tcPr>
          <w:p w14:paraId="31A53F4B" w14:textId="77777777" w:rsidR="00F94540" w:rsidRPr="0076580C" w:rsidRDefault="00F94540" w:rsidP="00525540">
            <w:pPr>
              <w:jc w:val="both"/>
              <w:rPr>
                <w:rFonts w:ascii="Times New Roman" w:hAnsi="Times New Roman" w:cs="Times New Roman"/>
                <w:lang w:val="en-GB"/>
              </w:rPr>
            </w:pPr>
          </w:p>
        </w:tc>
        <w:tc>
          <w:tcPr>
            <w:tcW w:w="5615" w:type="dxa"/>
          </w:tcPr>
          <w:p w14:paraId="2B79E0B0"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ομάδα αυτή αποτελείται από ακαδημαϊκά και ερευνητικά ιδρύματα που επικεντρώνονται σε σπουδές εδαφολογίας, γεωργίας, δασοπονίας ή περιβάλλοντος, τα οποία στοχεύουν στην παραγωγή νέας γνώσης και κατανόησης σε ζητήματα διακυβέρνησης του εδάφους, μεταξύ των οποίων η υγεία του εδάφους, η βιώσιμη χρήση της γης και οι πρακτικές προστασίας του περιβάλλοντος, μέσω της έρευνας, της εκπαίδευσης και της προβολής.</w:t>
            </w:r>
          </w:p>
          <w:p w14:paraId="7DAD7B81"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Παραδείγματα: Επιστήμονες, ακαδημαϊκοί, ερευνητές και φοιτητές πανεπιστημίων, ερευνητικά ιδρύματα, πάροχοι δευτεροβάθμιας εκπαίδευσης, οργανώσεις της κοινωνίας των πολιτών κλπ.</w:t>
            </w:r>
          </w:p>
        </w:tc>
        <w:tc>
          <w:tcPr>
            <w:tcW w:w="616" w:type="dxa"/>
          </w:tcPr>
          <w:p w14:paraId="0367ED37"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2</w:t>
            </w:r>
          </w:p>
        </w:tc>
      </w:tr>
      <w:tr w:rsidR="00F94540" w:rsidRPr="0076580C" w14:paraId="1A31D49D" w14:textId="77777777" w:rsidTr="2C6C7817">
        <w:tc>
          <w:tcPr>
            <w:tcW w:w="2062" w:type="dxa"/>
          </w:tcPr>
          <w:p w14:paraId="4950E24F" w14:textId="77777777" w:rsidR="00F94540" w:rsidRPr="0076580C" w:rsidRDefault="00F94540" w:rsidP="00A655ED">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Φροντίδα</w:t>
            </w:r>
          </w:p>
        </w:tc>
        <w:tc>
          <w:tcPr>
            <w:tcW w:w="1469" w:type="dxa"/>
          </w:tcPr>
          <w:p w14:paraId="3F06DDDF" w14:textId="77777777" w:rsidR="00F94540" w:rsidRPr="0076580C" w:rsidRDefault="00F94540" w:rsidP="00A655ED">
            <w:pPr>
              <w:jc w:val="both"/>
              <w:rPr>
                <w:rFonts w:ascii="Times New Roman" w:hAnsi="Times New Roman" w:cs="Times New Roman"/>
                <w:lang w:val="en-GB"/>
              </w:rPr>
            </w:pPr>
          </w:p>
        </w:tc>
        <w:tc>
          <w:tcPr>
            <w:tcW w:w="5615" w:type="dxa"/>
          </w:tcPr>
          <w:p w14:paraId="057A8071"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Η παροχή όλων των απαραίτητων στοιχείων που εξασφαλίζουν την υγεία, την καλή μεταχείριση, τη διατήρηση και την προστασία για κάποιον ή κάτι. Ο ορισμός περιλαμβάνει ένα ευρύ πεδίο από δραστηριότητες και νοοτροπίες που σκοπό έχουν να προάγουν την ευημερία και την υποστήριξη. Η φροντίδα γίνεται αντιληπτή ως οι δραστηριότητες που αποσκοπούν στην υποστήριξη των αναγκών των ατόμων και στην παροχή στήριξης για τη βελτίωση της ποιότητας ζωής τους.</w:t>
            </w:r>
          </w:p>
        </w:tc>
        <w:tc>
          <w:tcPr>
            <w:tcW w:w="616" w:type="dxa"/>
          </w:tcPr>
          <w:p w14:paraId="479E2D04"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28, 29</w:t>
            </w:r>
          </w:p>
        </w:tc>
      </w:tr>
      <w:tr w:rsidR="00F94540" w:rsidRPr="0076580C" w14:paraId="79CE2D0D" w14:textId="77777777" w:rsidTr="2C6C7817">
        <w:tc>
          <w:tcPr>
            <w:tcW w:w="2062" w:type="dxa"/>
          </w:tcPr>
          <w:p w14:paraId="04B63C91"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Φυσικό κεφάλαιο</w:t>
            </w:r>
          </w:p>
        </w:tc>
        <w:tc>
          <w:tcPr>
            <w:tcW w:w="1469" w:type="dxa"/>
          </w:tcPr>
          <w:p w14:paraId="5E3E3C9F" w14:textId="77777777" w:rsidR="00F94540" w:rsidRPr="0076580C" w:rsidRDefault="00F94540" w:rsidP="00525540">
            <w:pPr>
              <w:jc w:val="both"/>
              <w:rPr>
                <w:rFonts w:ascii="Times New Roman" w:hAnsi="Times New Roman" w:cs="Times New Roman"/>
                <w:lang w:val="en-GB"/>
              </w:rPr>
            </w:pPr>
          </w:p>
        </w:tc>
        <w:tc>
          <w:tcPr>
            <w:tcW w:w="5615" w:type="dxa"/>
          </w:tcPr>
          <w:p w14:paraId="14A89793"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Αναφέρεται τόσο στις έμβιες (π.χ. ιχθυοαποθέματα, δάση) όσο και στις άβιες (π.χ. ορυκτά, ενεργειακοί πόροι) πτυχές της φύσης. Πρόκειται για τα αποθέματα των οικοσυστημάτων της Γης, όπως μεταξύ άλλων ο αέρας, το νερό, η βιοποικιλότητα και η γεωποικιλότητα. Τα αποθέματα αυτά στηρίζουν την οικονομία μας και την κοινωνία, παράγοντας αξία για τους ανθρώπους άμεσα και έμμεσα. Τα αγαθά και οι υπηρεσίες που παρέχει στους ανθρώπους το φυσικό κεφάλαιο που υπόκειται σε βιώσιμη διαχείριση επιφυλάσσουν μία σειρά από κοινωνικά και περιβαλλοντικά οφέλη, όπως ο καθαρός αέρας και το νερό, ο μετριασμός της κλιματικής αλλαγής και η προσαρμογή σε αυτήν, η τροφή, η ενέργεια, οι τόποι διαβίωσης, οι πρώτες ύλες παραγωγής, η αναψυχή και η προστασία από κινδύνους.</w:t>
            </w:r>
          </w:p>
        </w:tc>
        <w:tc>
          <w:tcPr>
            <w:tcW w:w="616" w:type="dxa"/>
          </w:tcPr>
          <w:p w14:paraId="22CBA6E4"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1, 2</w:t>
            </w:r>
          </w:p>
        </w:tc>
      </w:tr>
      <w:tr w:rsidR="00F94540" w:rsidRPr="0076580C" w14:paraId="370D482C" w14:textId="77777777" w:rsidTr="2C6C7817">
        <w:tc>
          <w:tcPr>
            <w:tcW w:w="2062" w:type="dxa"/>
          </w:tcPr>
          <w:p w14:paraId="75A33CB6" w14:textId="77777777" w:rsidR="00F94540" w:rsidRPr="00F94540" w:rsidRDefault="00F94540" w:rsidP="00A655ED">
            <w:pPr>
              <w:rPr>
                <w:rFonts w:ascii="Times New Roman" w:hAnsi="Times New Roman" w:cs="Times New Roman"/>
                <w:b/>
                <w:color w:val="D86DCB" w:themeColor="accent5" w:themeTint="99"/>
                <w:lang w:val="el-GR"/>
              </w:rPr>
            </w:pPr>
            <w:r w:rsidRPr="0076580C">
              <w:rPr>
                <w:rFonts w:ascii="Times New Roman" w:hAnsi="Times New Roman" w:cs="Times New Roman"/>
                <w:b/>
                <w:color w:val="3A7C22" w:themeColor="accent6" w:themeShade="BF"/>
                <w:lang w:val="el"/>
              </w:rPr>
              <w:t>Φυτά που εμπλουτίζουν το έδαφος</w:t>
            </w:r>
          </w:p>
        </w:tc>
        <w:tc>
          <w:tcPr>
            <w:tcW w:w="1469" w:type="dxa"/>
          </w:tcPr>
          <w:p w14:paraId="125D0F07" w14:textId="77777777" w:rsidR="00F94540" w:rsidRPr="00F94540" w:rsidRDefault="00F94540" w:rsidP="00A655ED">
            <w:pPr>
              <w:jc w:val="both"/>
              <w:rPr>
                <w:rFonts w:ascii="Times New Roman" w:hAnsi="Times New Roman" w:cs="Times New Roman"/>
                <w:lang w:val="el-GR"/>
              </w:rPr>
            </w:pPr>
          </w:p>
        </w:tc>
        <w:tc>
          <w:tcPr>
            <w:tcW w:w="5615" w:type="dxa"/>
          </w:tcPr>
          <w:p w14:paraId="17162B3B" w14:textId="77777777" w:rsidR="00F94540" w:rsidRPr="00F94540" w:rsidRDefault="00F94540" w:rsidP="00A655ED">
            <w:pPr>
              <w:jc w:val="both"/>
              <w:rPr>
                <w:rFonts w:ascii="Times New Roman" w:hAnsi="Times New Roman" w:cs="Times New Roman"/>
                <w:lang w:val="el-GR"/>
              </w:rPr>
            </w:pPr>
            <w:r w:rsidRPr="0076580C">
              <w:rPr>
                <w:rFonts w:ascii="Times New Roman" w:hAnsi="Times New Roman" w:cs="Times New Roman"/>
                <w:lang w:val="el"/>
              </w:rPr>
              <w:t xml:space="preserve">Φυτά που βελτιώνουν τη γονιμότητα και την υγεία του εδάφους μέσω διαφόρων μηχανισμών, όπως η δέσμευση του αζώτου ή η προσθήκη οργανικής ύλης. Ένα παράδειγμα είναι τα όσπρια, τα οποία είναι γνωστά για την ικανότητά τους να εμπλουτίζουν την ποιότητα του εδάφους δεσμεύοντας το άζωτο. Η διεργασία αυτή αυξάνει σημαντικά τη γονιμότητα του εδάφους και προάγει την ανάπτυξη των καλλιεργειών· για </w:t>
            </w:r>
            <w:r w:rsidRPr="0076580C">
              <w:rPr>
                <w:rFonts w:ascii="Times New Roman" w:hAnsi="Times New Roman" w:cs="Times New Roman"/>
                <w:lang w:val="el"/>
              </w:rPr>
              <w:lastRenderedPageBreak/>
              <w:t>τον λόγο αυτό, τα όσπρια θεωρούνται άκρως σημαντικά για τα συστήματα βιώσιμης καλλιέργειας. Η σίκαλη, η βρώμη, το φαγόπυρο και το σόργο (ή αλλιώς sudangrass) είναι επίσης φυτά που εμπλουτίζουν το έδαφος.</w:t>
            </w:r>
          </w:p>
        </w:tc>
        <w:tc>
          <w:tcPr>
            <w:tcW w:w="616" w:type="dxa"/>
          </w:tcPr>
          <w:p w14:paraId="488525F0" w14:textId="77777777" w:rsidR="00F94540" w:rsidRPr="0076580C" w:rsidRDefault="00F94540" w:rsidP="00A655ED">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lastRenderedPageBreak/>
              <w:t>17, 18</w:t>
            </w:r>
          </w:p>
        </w:tc>
      </w:tr>
      <w:tr w:rsidR="00F94540" w:rsidRPr="0076580C" w14:paraId="69A2A7D0" w14:textId="77777777" w:rsidTr="2C6C7817">
        <w:tc>
          <w:tcPr>
            <w:tcW w:w="2062" w:type="dxa"/>
          </w:tcPr>
          <w:p w14:paraId="13968D9D" w14:textId="77777777" w:rsidR="00F94540" w:rsidRPr="0076580C" w:rsidRDefault="00F94540" w:rsidP="002A67F8">
            <w:pPr>
              <w:rPr>
                <w:rFonts w:ascii="Times New Roman" w:hAnsi="Times New Roman" w:cs="Times New Roman"/>
                <w:b/>
                <w:color w:val="D86DCB" w:themeColor="accent5" w:themeTint="99"/>
                <w:lang w:val="en-GB"/>
              </w:rPr>
            </w:pPr>
            <w:r w:rsidRPr="0076580C">
              <w:rPr>
                <w:rFonts w:ascii="Times New Roman" w:hAnsi="Times New Roman" w:cs="Times New Roman"/>
                <w:b/>
                <w:color w:val="3A7C22" w:themeColor="accent6" w:themeShade="BF"/>
                <w:lang w:val="el"/>
              </w:rPr>
              <w:t>Χλωρή λίπανση</w:t>
            </w:r>
          </w:p>
        </w:tc>
        <w:tc>
          <w:tcPr>
            <w:tcW w:w="1469" w:type="dxa"/>
          </w:tcPr>
          <w:p w14:paraId="11C37A68" w14:textId="77777777" w:rsidR="00F94540" w:rsidRPr="0076580C" w:rsidRDefault="00F94540" w:rsidP="00525540">
            <w:pPr>
              <w:jc w:val="both"/>
              <w:rPr>
                <w:rFonts w:ascii="Times New Roman" w:hAnsi="Times New Roman" w:cs="Times New Roman"/>
                <w:lang w:val="en-GB"/>
              </w:rPr>
            </w:pPr>
          </w:p>
        </w:tc>
        <w:tc>
          <w:tcPr>
            <w:tcW w:w="5615" w:type="dxa"/>
          </w:tcPr>
          <w:p w14:paraId="133BAE5E"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ενσωμάτωση στο έδαφος φυτών όχι προς συγκομιδή ανάμεσα σε δύο καλλιεργητικές περιόδους, με σκοπό τη βελτίωση της γονιμότητας του εδάφους· συνήθως δεν ισχύουν για αυτή οι περιορισμοί αζώτου (Ν) εξαιτίας της χρήσης λιπάσματος και κοπριάς, ούτε απαιτείται η ικανότητα δέσμευσης του ατμοσφαιρικού αζώτου.</w:t>
            </w:r>
          </w:p>
        </w:tc>
        <w:tc>
          <w:tcPr>
            <w:tcW w:w="616" w:type="dxa"/>
          </w:tcPr>
          <w:p w14:paraId="739D03AB"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4</w:t>
            </w:r>
          </w:p>
        </w:tc>
      </w:tr>
      <w:tr w:rsidR="00F94540" w:rsidRPr="0076580C" w14:paraId="4A5A8736" w14:textId="77777777" w:rsidTr="2C6C7817">
        <w:tc>
          <w:tcPr>
            <w:tcW w:w="2062" w:type="dxa"/>
          </w:tcPr>
          <w:p w14:paraId="200CB799"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Χουμοποίηση</w:t>
            </w:r>
          </w:p>
        </w:tc>
        <w:tc>
          <w:tcPr>
            <w:tcW w:w="1469" w:type="dxa"/>
          </w:tcPr>
          <w:p w14:paraId="22EC24AD" w14:textId="77777777" w:rsidR="00F94540" w:rsidRPr="0076580C" w:rsidRDefault="00F94540" w:rsidP="00525540">
            <w:pPr>
              <w:jc w:val="both"/>
              <w:rPr>
                <w:rFonts w:ascii="Times New Roman" w:hAnsi="Times New Roman" w:cs="Times New Roman"/>
                <w:lang w:val="en-GB"/>
              </w:rPr>
            </w:pPr>
          </w:p>
        </w:tc>
        <w:tc>
          <w:tcPr>
            <w:tcW w:w="5615" w:type="dxa"/>
          </w:tcPr>
          <w:p w14:paraId="5847CE3F"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Η μετατροπή του άνθρακα που περιέχεται στα οργανικά κατάλοιπα σε χουμικές ουσίες μέσω βιοχημικών και αβιοτικών διεργασιών.</w:t>
            </w:r>
          </w:p>
        </w:tc>
        <w:tc>
          <w:tcPr>
            <w:tcW w:w="616" w:type="dxa"/>
          </w:tcPr>
          <w:p w14:paraId="55C03914"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w:t>
            </w:r>
          </w:p>
        </w:tc>
      </w:tr>
      <w:tr w:rsidR="00F94540" w:rsidRPr="0076580C" w14:paraId="20274C9C" w14:textId="77777777" w:rsidTr="2C6C7817">
        <w:tc>
          <w:tcPr>
            <w:tcW w:w="2062" w:type="dxa"/>
          </w:tcPr>
          <w:p w14:paraId="0E01FF62" w14:textId="77777777" w:rsidR="00F94540" w:rsidRPr="0076580C" w:rsidRDefault="00F94540" w:rsidP="002A67F8">
            <w:pPr>
              <w:rPr>
                <w:rFonts w:ascii="Times New Roman" w:hAnsi="Times New Roman" w:cs="Times New Roman"/>
                <w:b/>
                <w:color w:val="3A7C22" w:themeColor="accent6" w:themeShade="BF"/>
                <w:lang w:val="en-GB"/>
              </w:rPr>
            </w:pPr>
            <w:r w:rsidRPr="0076580C">
              <w:rPr>
                <w:rFonts w:ascii="Times New Roman" w:hAnsi="Times New Roman" w:cs="Times New Roman"/>
                <w:b/>
                <w:color w:val="3A7C22" w:themeColor="accent6" w:themeShade="BF"/>
                <w:lang w:val="el"/>
              </w:rPr>
              <w:t>Χούμος</w:t>
            </w:r>
          </w:p>
        </w:tc>
        <w:tc>
          <w:tcPr>
            <w:tcW w:w="1469" w:type="dxa"/>
          </w:tcPr>
          <w:p w14:paraId="7DAF0121" w14:textId="77777777" w:rsidR="00F94540" w:rsidRPr="0076580C" w:rsidRDefault="00F94540" w:rsidP="00525540">
            <w:pPr>
              <w:jc w:val="both"/>
              <w:rPr>
                <w:rFonts w:ascii="Times New Roman" w:hAnsi="Times New Roman" w:cs="Times New Roman"/>
                <w:lang w:val="en-GB"/>
              </w:rPr>
            </w:pPr>
          </w:p>
        </w:tc>
        <w:tc>
          <w:tcPr>
            <w:tcW w:w="5615" w:type="dxa"/>
          </w:tcPr>
          <w:p w14:paraId="3DCB4779" w14:textId="77777777" w:rsidR="00F94540" w:rsidRPr="00F94540" w:rsidRDefault="00F94540" w:rsidP="00525540">
            <w:pPr>
              <w:jc w:val="both"/>
              <w:rPr>
                <w:rFonts w:ascii="Times New Roman" w:hAnsi="Times New Roman" w:cs="Times New Roman"/>
                <w:lang w:val="el-GR"/>
              </w:rPr>
            </w:pPr>
            <w:r w:rsidRPr="0076580C">
              <w:rPr>
                <w:rFonts w:ascii="Times New Roman" w:hAnsi="Times New Roman" w:cs="Times New Roman"/>
                <w:lang w:val="el"/>
              </w:rPr>
              <w:t>Το σκουρόχρωμο, άμορφο</w:t>
            </w:r>
            <w:r w:rsidRPr="0076580C">
              <w:rPr>
                <w:lang w:val="el"/>
              </w:rPr>
              <w:t xml:space="preserve"> </w:t>
            </w:r>
            <w:r w:rsidRPr="0076580C">
              <w:rPr>
                <w:rFonts w:ascii="Times New Roman" w:hAnsi="Times New Roman" w:cs="Times New Roman"/>
                <w:lang w:val="el"/>
              </w:rPr>
              <w:t>οργανικό συστατικό που σχηματίζεται από την αποσύνθεση των φυτικών και ζωικών κατάλοιπων μέσω των μικροοργανισμών που περιέχονται στα ανόργανα εδάφη, με χαμηλό ειδικό βάρος και μεγάλο εμβαδόν· συνήθως αποτελείται από πολλές οργανικές ενώσεις με υψηλό μοριακό βάρος. Συχνά χρησιμοποιείται ως συνώνυμο της οργανικής ύλης του εδάφους. Ο χούμος είναι ζωτικής σημασίας συστατικό του υγιούς εδάφους και κρίσιμο για τη γονιμότητά του, ενώ βοηθά τη σύνδεση των εδαφικών σωματιδίων και αδρανών μεταξύ τους.</w:t>
            </w:r>
          </w:p>
        </w:tc>
        <w:tc>
          <w:tcPr>
            <w:tcW w:w="616" w:type="dxa"/>
          </w:tcPr>
          <w:p w14:paraId="3A81C9CB" w14:textId="77777777" w:rsidR="00F94540" w:rsidRPr="0076580C" w:rsidRDefault="00F94540" w:rsidP="002A67F8">
            <w:pPr>
              <w:rPr>
                <w:rFonts w:ascii="Times New Roman" w:hAnsi="Times New Roman" w:cs="Times New Roman"/>
                <w:color w:val="663300"/>
                <w:sz w:val="16"/>
                <w:szCs w:val="16"/>
                <w:lang w:val="en-GB"/>
              </w:rPr>
            </w:pPr>
            <w:r w:rsidRPr="0076580C">
              <w:rPr>
                <w:rFonts w:ascii="Times New Roman" w:hAnsi="Times New Roman" w:cs="Times New Roman"/>
                <w:color w:val="663300"/>
                <w:sz w:val="16"/>
                <w:szCs w:val="16"/>
                <w:lang w:val="el"/>
              </w:rPr>
              <w:t>3</w:t>
            </w:r>
          </w:p>
        </w:tc>
      </w:tr>
      <w:tr w:rsidR="00A655ED" w:rsidRPr="0076580C" w14:paraId="78697CF3" w14:textId="77777777" w:rsidTr="2C6C7817">
        <w:tc>
          <w:tcPr>
            <w:tcW w:w="2062" w:type="dxa"/>
          </w:tcPr>
          <w:p w14:paraId="1E6E5ADB" w14:textId="77777777" w:rsidR="00A655ED" w:rsidRPr="0076580C" w:rsidRDefault="00A655ED" w:rsidP="00A655ED">
            <w:pPr>
              <w:rPr>
                <w:rFonts w:ascii="Times New Roman" w:hAnsi="Times New Roman" w:cs="Times New Roman"/>
                <w:b/>
                <w:color w:val="D86DCB" w:themeColor="accent5" w:themeTint="99"/>
                <w:lang w:val="en-GB"/>
              </w:rPr>
            </w:pPr>
          </w:p>
        </w:tc>
        <w:tc>
          <w:tcPr>
            <w:tcW w:w="1469" w:type="dxa"/>
          </w:tcPr>
          <w:p w14:paraId="0AA056E2" w14:textId="77777777" w:rsidR="00A655ED" w:rsidRPr="0076580C" w:rsidRDefault="00A655ED" w:rsidP="00A655ED">
            <w:pPr>
              <w:jc w:val="both"/>
              <w:rPr>
                <w:rFonts w:ascii="Times New Roman" w:hAnsi="Times New Roman" w:cs="Times New Roman"/>
                <w:lang w:val="en-GB"/>
              </w:rPr>
            </w:pPr>
          </w:p>
        </w:tc>
        <w:tc>
          <w:tcPr>
            <w:tcW w:w="5615" w:type="dxa"/>
          </w:tcPr>
          <w:p w14:paraId="4431CEFA" w14:textId="77777777" w:rsidR="00A655ED" w:rsidRPr="0076580C" w:rsidRDefault="00A655ED" w:rsidP="00A655ED">
            <w:pPr>
              <w:jc w:val="both"/>
              <w:rPr>
                <w:rFonts w:ascii="Times New Roman" w:hAnsi="Times New Roman" w:cs="Times New Roman"/>
                <w:lang w:val="en-GB"/>
              </w:rPr>
            </w:pPr>
          </w:p>
        </w:tc>
        <w:tc>
          <w:tcPr>
            <w:tcW w:w="616" w:type="dxa"/>
          </w:tcPr>
          <w:p w14:paraId="45DE3379" w14:textId="77777777" w:rsidR="00A655ED" w:rsidRPr="0076580C" w:rsidRDefault="00A655ED" w:rsidP="00A655ED">
            <w:pPr>
              <w:rPr>
                <w:rFonts w:ascii="Times New Roman" w:hAnsi="Times New Roman" w:cs="Times New Roman"/>
                <w:color w:val="663300"/>
                <w:sz w:val="16"/>
                <w:szCs w:val="16"/>
                <w:lang w:val="en-GB"/>
              </w:rPr>
            </w:pPr>
          </w:p>
        </w:tc>
      </w:tr>
    </w:tbl>
    <w:p w14:paraId="7B4FB9C5" w14:textId="77777777" w:rsidR="00AD6E49" w:rsidRPr="0076580C" w:rsidRDefault="00AD6E49" w:rsidP="00AD6E49">
      <w:pPr>
        <w:pStyle w:val="ListParagraph"/>
        <w:spacing w:after="0"/>
        <w:ind w:left="0"/>
        <w:rPr>
          <w:rFonts w:ascii="Arial" w:hAnsi="Arial" w:cs="Arial"/>
          <w:b/>
          <w:color w:val="3A7C22" w:themeColor="accent6" w:themeShade="BF"/>
          <w:sz w:val="24"/>
          <w:szCs w:val="24"/>
          <w:lang w:val="en-GB"/>
        </w:rPr>
      </w:pPr>
    </w:p>
    <w:p w14:paraId="3C96A377" w14:textId="3F0B9E55" w:rsidR="00AD6E49" w:rsidRPr="0076580C" w:rsidRDefault="00AD6E49" w:rsidP="00AD6E49">
      <w:pPr>
        <w:pStyle w:val="ListParagraph"/>
        <w:spacing w:after="0"/>
        <w:ind w:left="0"/>
        <w:rPr>
          <w:rFonts w:ascii="Times New Roman" w:hAnsi="Times New Roman" w:cs="Times New Roman"/>
          <w:b/>
          <w:color w:val="3A7C22" w:themeColor="accent6" w:themeShade="BF"/>
          <w:sz w:val="24"/>
          <w:szCs w:val="24"/>
          <w:lang w:val="en-GB"/>
        </w:rPr>
      </w:pPr>
      <w:r w:rsidRPr="0076580C">
        <w:rPr>
          <w:rFonts w:ascii="Times New Roman" w:hAnsi="Times New Roman" w:cs="Times New Roman"/>
          <w:b/>
          <w:color w:val="3A7C22" w:themeColor="accent6" w:themeShade="BF"/>
          <w:sz w:val="24"/>
          <w:szCs w:val="24"/>
          <w:lang w:val="el"/>
        </w:rPr>
        <w:t>Βιβλιογραφία:</w:t>
      </w:r>
    </w:p>
    <w:p w14:paraId="7A09F175" w14:textId="77777777" w:rsidR="00AD6E49" w:rsidRPr="0076580C" w:rsidRDefault="00AD6E49" w:rsidP="00AD6E49">
      <w:pPr>
        <w:pStyle w:val="ListParagraph"/>
        <w:spacing w:after="0"/>
        <w:ind w:left="0"/>
        <w:rPr>
          <w:rFonts w:ascii="Times New Roman" w:hAnsi="Times New Roman" w:cs="Times New Roman"/>
          <w:b/>
          <w:color w:val="3A7C22" w:themeColor="accent6" w:themeShade="BF"/>
          <w:lang w:val="en-GB"/>
        </w:rPr>
      </w:pPr>
    </w:p>
    <w:p w14:paraId="6A80FE8D" w14:textId="2F885DAC" w:rsidR="00AD6E49" w:rsidRPr="0076580C"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The Nature-Based Solutions for Soil Management – NBSOIL EU Project, Glossary </w:t>
      </w:r>
      <w:r w:rsidR="0000609E" w:rsidRPr="00F94540">
        <w:rPr>
          <w:rFonts w:ascii="Times New Roman" w:hAnsi="Times New Roman" w:cs="Times New Roman"/>
          <w:color w:val="000000" w:themeColor="text1"/>
          <w:lang w:val="en-GB"/>
        </w:rPr>
        <w:t>available</w:t>
      </w:r>
      <w:r w:rsidRPr="00F94540">
        <w:rPr>
          <w:rFonts w:ascii="Times New Roman" w:hAnsi="Times New Roman" w:cs="Times New Roman"/>
          <w:color w:val="000000" w:themeColor="text1"/>
          <w:lang w:val="en-GB"/>
        </w:rPr>
        <w:t xml:space="preserve"> at: </w:t>
      </w:r>
      <w:hyperlink r:id="rId14" w:history="1">
        <w:r w:rsidRPr="00F94540">
          <w:rPr>
            <w:rStyle w:val="Hyperlink"/>
            <w:rFonts w:ascii="Times New Roman" w:hAnsi="Times New Roman" w:cs="Times New Roman"/>
            <w:color w:val="000000" w:themeColor="text1"/>
            <w:lang w:val="en-GB"/>
          </w:rPr>
          <w:t>https://nbsoil.eu/glossary/</w:t>
        </w:r>
      </w:hyperlink>
    </w:p>
    <w:p w14:paraId="71B25A89" w14:textId="0BECBFDB" w:rsidR="00AD6E49" w:rsidRPr="0076580C"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Soil Health Be</w:t>
      </w:r>
      <w:r w:rsidR="492994D7" w:rsidRPr="00F94540">
        <w:rPr>
          <w:rFonts w:ascii="Times New Roman" w:hAnsi="Times New Roman" w:cs="Times New Roman"/>
          <w:color w:val="000000" w:themeColor="text1"/>
          <w:lang w:val="en-GB"/>
        </w:rPr>
        <w:t>n</w:t>
      </w:r>
      <w:r w:rsidRPr="00F94540">
        <w:rPr>
          <w:rFonts w:ascii="Times New Roman" w:hAnsi="Times New Roman" w:cs="Times New Roman"/>
          <w:color w:val="000000" w:themeColor="text1"/>
          <w:lang w:val="en-GB"/>
        </w:rPr>
        <w:t xml:space="preserve">chmarks, EU Project 2022, Glossary available at: </w:t>
      </w:r>
      <w:hyperlink r:id="rId15">
        <w:r w:rsidRPr="00F94540">
          <w:rPr>
            <w:rStyle w:val="Hyperlink"/>
            <w:rFonts w:ascii="Times New Roman" w:hAnsi="Times New Roman" w:cs="Times New Roman"/>
            <w:color w:val="000000" w:themeColor="text1"/>
            <w:lang w:val="en-GB"/>
          </w:rPr>
          <w:t>https://soilhealthbenchmarks.eu/glossary/</w:t>
        </w:r>
      </w:hyperlink>
    </w:p>
    <w:p w14:paraId="62482883" w14:textId="074906C9" w:rsidR="00AD6E49" w:rsidRPr="0076580C" w:rsidRDefault="00AD6E49" w:rsidP="003B4948">
      <w:pPr>
        <w:pStyle w:val="ListParagraph"/>
        <w:numPr>
          <w:ilvl w:val="0"/>
          <w:numId w:val="1"/>
        </w:numPr>
        <w:ind w:left="426" w:hanging="426"/>
        <w:rPr>
          <w:rFonts w:ascii="Times New Roman" w:hAnsi="Times New Roman" w:cs="Times New Roman"/>
          <w:color w:val="000000" w:themeColor="text1"/>
          <w:lang w:val="en-GB"/>
        </w:rPr>
      </w:pPr>
      <w:proofErr w:type="spellStart"/>
      <w:r w:rsidRPr="00F94540">
        <w:rPr>
          <w:rFonts w:ascii="Times New Roman" w:hAnsi="Times New Roman" w:cs="Times New Roman"/>
          <w:color w:val="000000" w:themeColor="text1"/>
          <w:lang w:val="en-GB"/>
        </w:rPr>
        <w:t>SoilCare</w:t>
      </w:r>
      <w:proofErr w:type="spellEnd"/>
      <w:r w:rsidRPr="00F94540">
        <w:rPr>
          <w:rFonts w:ascii="Times New Roman" w:hAnsi="Times New Roman" w:cs="Times New Roman"/>
          <w:color w:val="000000" w:themeColor="text1"/>
          <w:lang w:val="en-GB"/>
        </w:rPr>
        <w:t xml:space="preserve"> Project (2023) Glossary. Available at: </w:t>
      </w:r>
      <w:hyperlink r:id="rId16" w:history="1">
        <w:r w:rsidRPr="00F94540">
          <w:rPr>
            <w:rStyle w:val="Hyperlink"/>
            <w:rFonts w:ascii="Times New Roman" w:hAnsi="Times New Roman" w:cs="Times New Roman"/>
            <w:color w:val="000000" w:themeColor="text1"/>
            <w:lang w:val="en-GB"/>
          </w:rPr>
          <w:t>https://www.soilcare-project.eu/resources/glossary</w:t>
        </w:r>
      </w:hyperlink>
      <w:r w:rsidRPr="00F94540">
        <w:rPr>
          <w:rFonts w:ascii="Times New Roman" w:hAnsi="Times New Roman" w:cs="Times New Roman"/>
          <w:color w:val="000000" w:themeColor="text1"/>
          <w:lang w:val="en-GB"/>
        </w:rPr>
        <w:t xml:space="preserve"> (Accessed: 28 August 2024).</w:t>
      </w:r>
    </w:p>
    <w:p w14:paraId="0547156A" w14:textId="1488E471" w:rsidR="002834EC" w:rsidRPr="0076580C" w:rsidRDefault="002834EC" w:rsidP="003B4948">
      <w:pPr>
        <w:pStyle w:val="ListParagraph"/>
        <w:numPr>
          <w:ilvl w:val="0"/>
          <w:numId w:val="1"/>
        </w:numPr>
        <w:ind w:left="426" w:hanging="426"/>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Landmark, EU Proje</w:t>
      </w:r>
      <w:r w:rsidR="00582A39" w:rsidRPr="00F94540">
        <w:rPr>
          <w:rFonts w:ascii="Times New Roman" w:hAnsi="Times New Roman" w:cs="Times New Roman"/>
          <w:color w:val="000000" w:themeColor="text1"/>
          <w:lang w:val="en-GB"/>
        </w:rPr>
        <w:t>c</w:t>
      </w:r>
      <w:r w:rsidRPr="00F94540">
        <w:rPr>
          <w:rFonts w:ascii="Times New Roman" w:hAnsi="Times New Roman" w:cs="Times New Roman"/>
          <w:color w:val="000000" w:themeColor="text1"/>
          <w:lang w:val="en-GB"/>
        </w:rPr>
        <w:t xml:space="preserve">t 2015, Glossary available at </w:t>
      </w:r>
      <w:hyperlink r:id="rId17" w:history="1">
        <w:r w:rsidRPr="00F94540">
          <w:rPr>
            <w:rStyle w:val="Hyperlink"/>
            <w:rFonts w:ascii="Times New Roman" w:hAnsi="Times New Roman" w:cs="Times New Roman"/>
            <w:color w:val="000000" w:themeColor="text1"/>
            <w:lang w:val="en-GB"/>
          </w:rPr>
          <w:t>https://landmarkproject.eu/landmark-glossary/#</w:t>
        </w:r>
      </w:hyperlink>
      <w:r w:rsidRPr="00F94540">
        <w:rPr>
          <w:rFonts w:ascii="Times New Roman" w:hAnsi="Times New Roman" w:cs="Times New Roman"/>
          <w:color w:val="000000" w:themeColor="text1"/>
          <w:lang w:val="en-GB"/>
        </w:rPr>
        <w:t xml:space="preserve"> (Accessed: 28 August 2024).</w:t>
      </w:r>
    </w:p>
    <w:p w14:paraId="130D4599" w14:textId="62B07926" w:rsidR="0021576C" w:rsidRPr="0076580C" w:rsidRDefault="0021576C" w:rsidP="003B4948">
      <w:pPr>
        <w:pStyle w:val="ListParagraph"/>
        <w:numPr>
          <w:ilvl w:val="0"/>
          <w:numId w:val="1"/>
        </w:numPr>
        <w:ind w:left="426" w:hanging="426"/>
        <w:rPr>
          <w:rFonts w:ascii="Times New Roman" w:hAnsi="Times New Roman" w:cs="Times New Roman"/>
          <w:color w:val="000000" w:themeColor="text1"/>
          <w:lang w:val="en-GB"/>
        </w:rPr>
      </w:pPr>
      <w:r w:rsidRPr="00F94540">
        <w:rPr>
          <w:rFonts w:ascii="Times New Roman" w:hAnsi="Times New Roman" w:cs="Times New Roman"/>
          <w:color w:val="000000" w:themeColor="text1"/>
          <w:shd w:val="clear" w:color="auto" w:fill="FFFFFF"/>
          <w:lang w:val="en-GB"/>
        </w:rPr>
        <w:t xml:space="preserve">Huntley, B.J. (2023). Soil, Water and Nutrients. In: Ecology of Angola. Springer, Cham. </w:t>
      </w:r>
      <w:hyperlink r:id="rId18" w:history="1">
        <w:r w:rsidRPr="0076580C">
          <w:rPr>
            <w:rStyle w:val="Hyperlink"/>
            <w:rFonts w:ascii="Times New Roman" w:hAnsi="Times New Roman" w:cs="Times New Roman"/>
            <w:color w:val="000000" w:themeColor="text1"/>
            <w:shd w:val="clear" w:color="auto" w:fill="FFFFFF"/>
            <w:lang w:val="el"/>
          </w:rPr>
          <w:t>https://doi.org/10.1007/978-3-031-18923-4_6</w:t>
        </w:r>
      </w:hyperlink>
      <w:r w:rsidRPr="0076580C">
        <w:rPr>
          <w:rFonts w:ascii="Times New Roman" w:hAnsi="Times New Roman" w:cs="Times New Roman"/>
          <w:color w:val="000000" w:themeColor="text1"/>
          <w:shd w:val="clear" w:color="auto" w:fill="FFFFFF"/>
          <w:lang w:val="el"/>
        </w:rPr>
        <w:t xml:space="preserve"> (</w:t>
      </w:r>
      <w:hyperlink r:id="rId19" w:anchor="citeas" w:history="1">
        <w:r w:rsidRPr="0076580C">
          <w:rPr>
            <w:rStyle w:val="Hyperlink"/>
            <w:rFonts w:ascii="Times New Roman" w:hAnsi="Times New Roman" w:cs="Times New Roman"/>
            <w:color w:val="000000" w:themeColor="text1"/>
            <w:shd w:val="clear" w:color="auto" w:fill="FFFFFF"/>
            <w:lang w:val="el"/>
          </w:rPr>
          <w:t>https://link.springer.com/chapter/10.1007/978-3-031-18923-4_6#citeas</w:t>
        </w:r>
      </w:hyperlink>
      <w:r w:rsidRPr="0076580C">
        <w:rPr>
          <w:rFonts w:ascii="Times New Roman" w:hAnsi="Times New Roman" w:cs="Times New Roman"/>
          <w:color w:val="000000" w:themeColor="text1"/>
          <w:shd w:val="clear" w:color="auto" w:fill="FFFFFF"/>
          <w:lang w:val="el"/>
        </w:rPr>
        <w:t>)</w:t>
      </w:r>
    </w:p>
    <w:p w14:paraId="7F33B9FF" w14:textId="77777777" w:rsidR="003B4948" w:rsidRPr="0076580C" w:rsidRDefault="0021576C" w:rsidP="003B4948">
      <w:pPr>
        <w:pStyle w:val="ListParagraph"/>
        <w:numPr>
          <w:ilvl w:val="0"/>
          <w:numId w:val="1"/>
        </w:numPr>
        <w:ind w:left="426" w:hanging="426"/>
        <w:rPr>
          <w:rFonts w:ascii="Times New Roman" w:hAnsi="Times New Roman" w:cs="Times New Roman"/>
          <w:color w:val="000000" w:themeColor="text1"/>
          <w:lang w:val="en-GB"/>
        </w:rPr>
      </w:pPr>
      <w:proofErr w:type="spellStart"/>
      <w:r w:rsidRPr="00F94540">
        <w:rPr>
          <w:rFonts w:ascii="Times New Roman" w:hAnsi="Times New Roman" w:cs="Times New Roman"/>
          <w:color w:val="000000" w:themeColor="text1"/>
          <w:lang w:val="en-GB"/>
        </w:rPr>
        <w:t>Radziuk</w:t>
      </w:r>
      <w:proofErr w:type="spellEnd"/>
      <w:r w:rsidRPr="00F94540">
        <w:rPr>
          <w:rFonts w:ascii="Times New Roman" w:hAnsi="Times New Roman" w:cs="Times New Roman"/>
          <w:color w:val="000000" w:themeColor="text1"/>
          <w:lang w:val="en-GB"/>
        </w:rPr>
        <w:t>, H</w:t>
      </w:r>
      <w:r w:rsidR="005A766D" w:rsidRPr="00F94540">
        <w:rPr>
          <w:rFonts w:ascii="Times New Roman" w:hAnsi="Times New Roman" w:cs="Times New Roman"/>
          <w:color w:val="000000" w:themeColor="text1"/>
          <w:lang w:val="en-GB"/>
        </w:rPr>
        <w:t>.</w:t>
      </w:r>
      <w:r w:rsidRPr="00F94540">
        <w:rPr>
          <w:rFonts w:ascii="Times New Roman" w:hAnsi="Times New Roman" w:cs="Times New Roman"/>
          <w:color w:val="000000" w:themeColor="text1"/>
          <w:lang w:val="en-GB"/>
        </w:rPr>
        <w:t xml:space="preserve">, </w:t>
      </w:r>
      <w:proofErr w:type="spellStart"/>
      <w:r w:rsidRPr="00F94540">
        <w:rPr>
          <w:rFonts w:ascii="Times New Roman" w:hAnsi="Times New Roman" w:cs="Times New Roman"/>
          <w:color w:val="000000" w:themeColor="text1"/>
          <w:lang w:val="en-GB"/>
        </w:rPr>
        <w:t>Świtoniak</w:t>
      </w:r>
      <w:proofErr w:type="spellEnd"/>
      <w:r w:rsidRPr="00F94540">
        <w:rPr>
          <w:rFonts w:ascii="Times New Roman" w:hAnsi="Times New Roman" w:cs="Times New Roman"/>
          <w:color w:val="000000" w:themeColor="text1"/>
          <w:lang w:val="en-GB"/>
        </w:rPr>
        <w:t>.</w:t>
      </w:r>
      <w:r w:rsidR="005A766D" w:rsidRPr="00F94540">
        <w:rPr>
          <w:rFonts w:ascii="Times New Roman" w:hAnsi="Times New Roman" w:cs="Times New Roman"/>
          <w:color w:val="000000" w:themeColor="text1"/>
          <w:lang w:val="en-GB"/>
        </w:rPr>
        <w:t xml:space="preserve"> M. (</w:t>
      </w:r>
      <w:r w:rsidRPr="00F94540">
        <w:rPr>
          <w:rFonts w:ascii="Times New Roman" w:hAnsi="Times New Roman" w:cs="Times New Roman"/>
          <w:color w:val="000000" w:themeColor="text1"/>
          <w:lang w:val="en-GB"/>
        </w:rPr>
        <w:t>2022</w:t>
      </w:r>
      <w:r w:rsidR="005A766D" w:rsidRPr="00F94540">
        <w:rPr>
          <w:rFonts w:ascii="Times New Roman" w:hAnsi="Times New Roman" w:cs="Times New Roman"/>
          <w:color w:val="000000" w:themeColor="text1"/>
          <w:lang w:val="en-GB"/>
        </w:rPr>
        <w:t>)</w:t>
      </w:r>
      <w:r w:rsidRPr="00F94540">
        <w:rPr>
          <w:rFonts w:ascii="Times New Roman" w:hAnsi="Times New Roman" w:cs="Times New Roman"/>
          <w:color w:val="000000" w:themeColor="text1"/>
          <w:lang w:val="en-GB"/>
        </w:rPr>
        <w:t>. The Effect of Erosional Transformation of Soil Cover on the Stability of Soil Aggregates within Young Hummocky Moraine Landscapes in Northern Poland</w:t>
      </w:r>
      <w:r w:rsidR="005A766D" w:rsidRPr="00F94540">
        <w:rPr>
          <w:rFonts w:ascii="Times New Roman" w:hAnsi="Times New Roman" w:cs="Times New Roman"/>
          <w:color w:val="000000" w:themeColor="text1"/>
          <w:lang w:val="en-GB"/>
        </w:rPr>
        <w:t>.</w:t>
      </w:r>
      <w:r w:rsidRPr="00F94540">
        <w:rPr>
          <w:rFonts w:ascii="Times New Roman" w:hAnsi="Times New Roman" w:cs="Times New Roman"/>
          <w:color w:val="000000" w:themeColor="text1"/>
          <w:lang w:val="en-GB"/>
        </w:rPr>
        <w:t xml:space="preserve"> </w:t>
      </w:r>
      <w:r w:rsidRPr="0076580C">
        <w:rPr>
          <w:rFonts w:ascii="Times New Roman" w:hAnsi="Times New Roman" w:cs="Times New Roman"/>
          <w:color w:val="000000" w:themeColor="text1"/>
          <w:lang w:val="el"/>
        </w:rPr>
        <w:t xml:space="preserve">Agronomy 12, no. 11: 2595. </w:t>
      </w:r>
      <w:r w:rsidR="005A766D">
        <w:fldChar w:fldCharType="begin"/>
      </w:r>
      <w:r w:rsidR="005A766D">
        <w:instrText>HYPERLINK "https://doi.org/10.3390/agronomy12112595"</w:instrText>
      </w:r>
      <w:r w:rsidR="005A766D">
        <w:fldChar w:fldCharType="separate"/>
      </w:r>
      <w:r w:rsidR="005A766D" w:rsidRPr="0076580C">
        <w:rPr>
          <w:rStyle w:val="Hyperlink"/>
          <w:rFonts w:ascii="Times New Roman" w:hAnsi="Times New Roman" w:cs="Times New Roman"/>
          <w:color w:val="000000" w:themeColor="text1"/>
          <w:lang w:val="el"/>
        </w:rPr>
        <w:t>https://doi.org/10.3390/agronomy12112595</w:t>
      </w:r>
      <w:r w:rsidR="005A766D">
        <w:fldChar w:fldCharType="end"/>
      </w:r>
      <w:r w:rsidR="00767523" w:rsidRPr="0076580C">
        <w:rPr>
          <w:rFonts w:ascii="Times New Roman" w:hAnsi="Times New Roman" w:cs="Times New Roman"/>
          <w:color w:val="000000" w:themeColor="text1"/>
          <w:lang w:val="el"/>
        </w:rPr>
        <w:t>.</w:t>
      </w:r>
    </w:p>
    <w:p w14:paraId="7E736D69" w14:textId="1FB53DF2" w:rsidR="00767523" w:rsidRPr="0076580C" w:rsidRDefault="00C60A38" w:rsidP="003B4948">
      <w:pPr>
        <w:pStyle w:val="ListParagraph"/>
        <w:numPr>
          <w:ilvl w:val="0"/>
          <w:numId w:val="1"/>
        </w:numPr>
        <w:ind w:left="426" w:hanging="426"/>
        <w:jc w:val="both"/>
        <w:rPr>
          <w:rFonts w:ascii="Times New Roman" w:hAnsi="Times New Roman" w:cs="Times New Roman"/>
          <w:color w:val="000000" w:themeColor="text1"/>
          <w:lang w:val="en-GB"/>
        </w:rPr>
      </w:pPr>
      <w:proofErr w:type="spellStart"/>
      <w:r w:rsidRPr="00F94540">
        <w:rPr>
          <w:rFonts w:ascii="Times New Roman" w:hAnsi="Times New Roman" w:cs="Times New Roman"/>
          <w:color w:val="000000" w:themeColor="text1"/>
          <w:lang w:val="en-GB"/>
        </w:rPr>
        <w:t>Hoorman</w:t>
      </w:r>
      <w:proofErr w:type="spellEnd"/>
      <w:r w:rsidRPr="00F94540">
        <w:rPr>
          <w:rFonts w:ascii="Times New Roman" w:hAnsi="Times New Roman" w:cs="Times New Roman"/>
          <w:color w:val="000000" w:themeColor="text1"/>
          <w:lang w:val="en-GB"/>
        </w:rPr>
        <w:t xml:space="preserve">, J., Reeder, R., Sundermeier, A., Islam R., Aziz, I., </w:t>
      </w:r>
      <w:r w:rsidR="001A43DB" w:rsidRPr="00F94540">
        <w:rPr>
          <w:rFonts w:ascii="Times New Roman" w:hAnsi="Times New Roman" w:cs="Times New Roman"/>
          <w:color w:val="000000" w:themeColor="text1"/>
          <w:lang w:val="en-GB"/>
        </w:rPr>
        <w:t xml:space="preserve">(2012). </w:t>
      </w:r>
      <w:r w:rsidRPr="00F94540">
        <w:rPr>
          <w:rFonts w:ascii="Times New Roman" w:hAnsi="Times New Roman" w:cs="Times New Roman"/>
          <w:color w:val="000000" w:themeColor="text1"/>
          <w:lang w:val="en-GB"/>
        </w:rPr>
        <w:t>Soil Terminology and Definitions, Ohio State University</w:t>
      </w:r>
      <w:r w:rsidR="001A43DB" w:rsidRPr="00F94540">
        <w:rPr>
          <w:rFonts w:ascii="Times New Roman" w:hAnsi="Times New Roman" w:cs="Times New Roman"/>
          <w:color w:val="000000" w:themeColor="text1"/>
          <w:lang w:val="en-GB"/>
        </w:rPr>
        <w:t xml:space="preserve"> extension</w:t>
      </w:r>
      <w:r w:rsidRPr="00F94540">
        <w:rPr>
          <w:rFonts w:ascii="Times New Roman" w:hAnsi="Times New Roman" w:cs="Times New Roman"/>
          <w:color w:val="000000" w:themeColor="text1"/>
          <w:lang w:val="en-GB"/>
        </w:rPr>
        <w:t xml:space="preserve">. </w:t>
      </w:r>
      <w:hyperlink r:id="rId20" w:history="1">
        <w:r w:rsidR="001A43DB" w:rsidRPr="0076580C">
          <w:rPr>
            <w:rStyle w:val="Hyperlink"/>
            <w:rFonts w:ascii="Times New Roman" w:hAnsi="Times New Roman" w:cs="Times New Roman"/>
            <w:lang w:val="el"/>
          </w:rPr>
          <w:t>https://ohioline.osu.edu/factsheet/SAG-19</w:t>
        </w:r>
      </w:hyperlink>
      <w:r w:rsidR="001A43DB" w:rsidRPr="0076580C">
        <w:rPr>
          <w:rFonts w:ascii="Times New Roman" w:hAnsi="Times New Roman" w:cs="Times New Roman"/>
          <w:color w:val="000000" w:themeColor="text1"/>
          <w:lang w:val="el"/>
        </w:rPr>
        <w:t xml:space="preserve"> (Acces</w:t>
      </w:r>
      <w:r w:rsidR="0000609E" w:rsidRPr="0076580C">
        <w:rPr>
          <w:rFonts w:ascii="Times New Roman" w:hAnsi="Times New Roman" w:cs="Times New Roman"/>
          <w:color w:val="000000" w:themeColor="text1"/>
          <w:lang w:val="el"/>
        </w:rPr>
        <w:t>s</w:t>
      </w:r>
      <w:r w:rsidR="001A43DB" w:rsidRPr="0076580C">
        <w:rPr>
          <w:rFonts w:ascii="Times New Roman" w:hAnsi="Times New Roman" w:cs="Times New Roman"/>
          <w:color w:val="000000" w:themeColor="text1"/>
          <w:lang w:val="el"/>
        </w:rPr>
        <w:t>ed: 29 august 2024)</w:t>
      </w:r>
    </w:p>
    <w:p w14:paraId="2D394610" w14:textId="77777777" w:rsidR="003B4948" w:rsidRPr="0076580C" w:rsidRDefault="003B4948" w:rsidP="003B4948">
      <w:pPr>
        <w:pStyle w:val="ListParagraph"/>
        <w:numPr>
          <w:ilvl w:val="0"/>
          <w:numId w:val="1"/>
        </w:numPr>
        <w:ind w:left="426" w:hanging="426"/>
        <w:jc w:val="both"/>
        <w:rPr>
          <w:rFonts w:ascii="Times New Roman" w:hAnsi="Times New Roman" w:cs="Times New Roman"/>
          <w:color w:val="000000" w:themeColor="text1"/>
          <w:lang w:val="de-DE"/>
        </w:rPr>
      </w:pPr>
      <w:r w:rsidRPr="0076580C">
        <w:rPr>
          <w:rFonts w:ascii="Times New Roman" w:hAnsi="Times New Roman" w:cs="Times New Roman"/>
          <w:color w:val="000000" w:themeColor="text1"/>
          <w:lang w:val="de-DE"/>
        </w:rPr>
        <w:t>Nahm, M., &amp; Morhart, C. (2017). Multifunktionalität und Vielfalt von Agroforstwirtschaft. Bäume in der Land(wirt)schaft–von der Theorie in die Praxis, 17-24.</w:t>
      </w:r>
    </w:p>
    <w:p w14:paraId="0941A377" w14:textId="77777777" w:rsidR="003B4948" w:rsidRPr="0076580C" w:rsidRDefault="003B4948" w:rsidP="003B4948">
      <w:pPr>
        <w:pStyle w:val="ListParagraph"/>
        <w:numPr>
          <w:ilvl w:val="0"/>
          <w:numId w:val="1"/>
        </w:numPr>
        <w:ind w:left="426" w:hanging="426"/>
        <w:jc w:val="both"/>
        <w:rPr>
          <w:rFonts w:ascii="Times New Roman" w:hAnsi="Times New Roman" w:cs="Times New Roman"/>
          <w:color w:val="000000" w:themeColor="text1"/>
          <w:lang w:val="en-GB"/>
        </w:rPr>
      </w:pPr>
      <w:r w:rsidRPr="0076580C">
        <w:rPr>
          <w:rFonts w:ascii="Times New Roman" w:hAnsi="Times New Roman" w:cs="Times New Roman"/>
          <w:color w:val="000000" w:themeColor="text1"/>
          <w:lang w:val="de-DE"/>
        </w:rPr>
        <w:t xml:space="preserve">Möller, A. &amp; Höper, H. (2015). Bewertung des Einsatzes von Biokohle in der Landwirtschaft aus Sicht des Bodenschutzes. </w:t>
      </w:r>
      <w:r w:rsidRPr="0076580C">
        <w:rPr>
          <w:rFonts w:ascii="Times New Roman" w:hAnsi="Times New Roman" w:cs="Times New Roman"/>
          <w:color w:val="000000" w:themeColor="text1"/>
          <w:lang w:val="el"/>
        </w:rPr>
        <w:t>Hannover, Landesamt für Bergbau, Energie und Geologie.</w:t>
      </w:r>
    </w:p>
    <w:p w14:paraId="3628C2EE" w14:textId="77777777" w:rsidR="003B4948" w:rsidRPr="0076580C" w:rsidRDefault="003B4948" w:rsidP="003B4948">
      <w:pPr>
        <w:pStyle w:val="ListParagraph"/>
        <w:numPr>
          <w:ilvl w:val="0"/>
          <w:numId w:val="1"/>
        </w:numPr>
        <w:ind w:left="426" w:hanging="426"/>
        <w:jc w:val="both"/>
        <w:rPr>
          <w:rFonts w:ascii="Times New Roman" w:hAnsi="Times New Roman" w:cs="Times New Roman"/>
          <w:color w:val="000000" w:themeColor="text1"/>
          <w:lang w:val="de-DE"/>
        </w:rPr>
      </w:pPr>
      <w:r w:rsidRPr="0076580C">
        <w:rPr>
          <w:rFonts w:ascii="Times New Roman" w:hAnsi="Times New Roman" w:cs="Times New Roman"/>
          <w:color w:val="000000" w:themeColor="text1"/>
          <w:lang w:val="de-DE"/>
        </w:rPr>
        <w:t>Möller, K., Sauter, G., Mann, T., Flaig, H., &amp; Breuer, J. (2022). Wissenschaftliche Bewertung der Methoden der Regenerativen Landwirtschaft. In Conference (Vol. 132, pp. 107-117).</w:t>
      </w:r>
    </w:p>
    <w:p w14:paraId="54CAEEDD" w14:textId="1165EE68" w:rsidR="006D24D6" w:rsidRPr="0076580C" w:rsidRDefault="006D24D6" w:rsidP="003B4948">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lastRenderedPageBreak/>
        <w:t xml:space="preserve">European Coordination Via Campesina (2016). </w:t>
      </w:r>
      <w:r w:rsidRPr="00F94540">
        <w:rPr>
          <w:rFonts w:ascii="Times New Roman" w:hAnsi="Times New Roman" w:cs="Times New Roman"/>
          <w:lang w:val="en-GB"/>
        </w:rPr>
        <w:t>How do we define Land Grabbing?</w:t>
      </w:r>
      <w:r w:rsidRPr="00F94540">
        <w:rPr>
          <w:rFonts w:ascii="Times New Roman" w:hAnsi="Times New Roman" w:cs="Times New Roman"/>
          <w:color w:val="000000" w:themeColor="text1"/>
          <w:lang w:val="en-GB"/>
        </w:rPr>
        <w:t xml:space="preserve"> </w:t>
      </w:r>
      <w:hyperlink r:id="rId21" w:history="1">
        <w:r w:rsidRPr="00F94540">
          <w:rPr>
            <w:rStyle w:val="Hyperlink"/>
            <w:rFonts w:ascii="Times New Roman" w:hAnsi="Times New Roman" w:cs="Times New Roman"/>
            <w:lang w:val="en-GB"/>
          </w:rPr>
          <w:t>https://www.eurovia.org/wp-content/uploads/2016/11/defining-land-grabs.pdf</w:t>
        </w:r>
      </w:hyperlink>
      <w:r w:rsidRPr="00F94540">
        <w:rPr>
          <w:rFonts w:ascii="Times New Roman" w:hAnsi="Times New Roman" w:cs="Times New Roman"/>
          <w:color w:val="000000" w:themeColor="text1"/>
          <w:lang w:val="en-GB"/>
        </w:rPr>
        <w:t xml:space="preserve"> </w:t>
      </w:r>
      <w:bookmarkStart w:id="3" w:name="_Hlk180704550"/>
      <w:r w:rsidRPr="00F94540">
        <w:rPr>
          <w:rFonts w:ascii="Times New Roman" w:hAnsi="Times New Roman" w:cs="Times New Roman"/>
          <w:color w:val="000000" w:themeColor="text1"/>
          <w:lang w:val="en-GB"/>
        </w:rPr>
        <w:t>(Acces</w:t>
      </w:r>
      <w:r w:rsidR="0000609E" w:rsidRPr="00F94540">
        <w:rPr>
          <w:rFonts w:ascii="Times New Roman" w:hAnsi="Times New Roman" w:cs="Times New Roman"/>
          <w:color w:val="000000" w:themeColor="text1"/>
          <w:lang w:val="en-GB"/>
        </w:rPr>
        <w:t>s</w:t>
      </w:r>
      <w:r w:rsidRPr="00F94540">
        <w:rPr>
          <w:rFonts w:ascii="Times New Roman" w:hAnsi="Times New Roman" w:cs="Times New Roman"/>
          <w:color w:val="000000" w:themeColor="text1"/>
          <w:lang w:val="en-GB"/>
        </w:rPr>
        <w:t>ed:</w:t>
      </w:r>
      <w:r w:rsidR="00262263" w:rsidRPr="00F94540">
        <w:rPr>
          <w:rFonts w:ascii="Times New Roman" w:hAnsi="Times New Roman" w:cs="Times New Roman"/>
          <w:color w:val="000000" w:themeColor="text1"/>
          <w:lang w:val="en-GB"/>
        </w:rPr>
        <w:t xml:space="preserve"> </w:t>
      </w:r>
      <w:r w:rsidRPr="00F94540">
        <w:rPr>
          <w:rFonts w:ascii="Times New Roman" w:hAnsi="Times New Roman" w:cs="Times New Roman"/>
          <w:color w:val="000000" w:themeColor="text1"/>
          <w:lang w:val="en-GB"/>
        </w:rPr>
        <w:t>6.10.2024)</w:t>
      </w:r>
      <w:bookmarkEnd w:id="3"/>
    </w:p>
    <w:p w14:paraId="083A7C4A" w14:textId="18ECFB56" w:rsidR="006D24D6" w:rsidRPr="0076580C" w:rsidRDefault="006D24D6" w:rsidP="003B4948">
      <w:pPr>
        <w:pStyle w:val="ListParagraph"/>
        <w:numPr>
          <w:ilvl w:val="0"/>
          <w:numId w:val="1"/>
        </w:numPr>
        <w:ind w:left="426" w:hanging="426"/>
        <w:jc w:val="both"/>
        <w:rPr>
          <w:rFonts w:ascii="Times New Roman" w:hAnsi="Times New Roman" w:cs="Times New Roman"/>
          <w:color w:val="000000" w:themeColor="text1"/>
          <w:lang w:val="en-GB"/>
        </w:rPr>
      </w:pPr>
      <w:proofErr w:type="spellStart"/>
      <w:r w:rsidRPr="00F94540">
        <w:rPr>
          <w:rFonts w:ascii="Times New Roman" w:hAnsi="Times New Roman" w:cs="Times New Roman"/>
          <w:color w:val="000000" w:themeColor="text1"/>
          <w:lang w:val="en-GB"/>
        </w:rPr>
        <w:t>Kopittke</w:t>
      </w:r>
      <w:proofErr w:type="spellEnd"/>
      <w:r w:rsidRPr="00F94540">
        <w:rPr>
          <w:rFonts w:ascii="Times New Roman" w:hAnsi="Times New Roman" w:cs="Times New Roman"/>
          <w:color w:val="000000" w:themeColor="text1"/>
          <w:lang w:val="en-GB"/>
        </w:rPr>
        <w:t xml:space="preserve">, P. M., </w:t>
      </w:r>
      <w:proofErr w:type="spellStart"/>
      <w:r w:rsidRPr="00F94540">
        <w:rPr>
          <w:rFonts w:ascii="Times New Roman" w:hAnsi="Times New Roman" w:cs="Times New Roman"/>
          <w:color w:val="000000" w:themeColor="text1"/>
          <w:lang w:val="en-GB"/>
        </w:rPr>
        <w:t>Minasny</w:t>
      </w:r>
      <w:proofErr w:type="spellEnd"/>
      <w:r w:rsidRPr="00F94540">
        <w:rPr>
          <w:rFonts w:ascii="Times New Roman" w:hAnsi="Times New Roman" w:cs="Times New Roman"/>
          <w:color w:val="000000" w:themeColor="text1"/>
          <w:lang w:val="en-GB"/>
        </w:rPr>
        <w:t xml:space="preserve">, B., </w:t>
      </w:r>
      <w:proofErr w:type="spellStart"/>
      <w:r w:rsidRPr="00F94540">
        <w:rPr>
          <w:rFonts w:ascii="Times New Roman" w:hAnsi="Times New Roman" w:cs="Times New Roman"/>
          <w:color w:val="000000" w:themeColor="text1"/>
          <w:lang w:val="en-GB"/>
        </w:rPr>
        <w:t>Pendall</w:t>
      </w:r>
      <w:proofErr w:type="spellEnd"/>
      <w:r w:rsidRPr="00F94540">
        <w:rPr>
          <w:rFonts w:ascii="Times New Roman" w:hAnsi="Times New Roman" w:cs="Times New Roman"/>
          <w:color w:val="000000" w:themeColor="text1"/>
          <w:lang w:val="en-GB"/>
        </w:rPr>
        <w:t xml:space="preserve">, E., Rumpel, C., &amp; McKenna, B. A. (2023). Healthy soil for healthy humans and a healthy planet. Critical Reviews in Environmental Science and Technology, 54(3), 210–221. </w:t>
      </w:r>
      <w:hyperlink r:id="rId22" w:history="1">
        <w:r w:rsidRPr="0076580C">
          <w:rPr>
            <w:rStyle w:val="Hyperlink"/>
            <w:rFonts w:ascii="Times New Roman" w:hAnsi="Times New Roman" w:cs="Times New Roman"/>
            <w:lang w:val="el"/>
          </w:rPr>
          <w:t>https://doi.org/10.1080/10643389.2023.2228651</w:t>
        </w:r>
      </w:hyperlink>
      <w:r w:rsidRPr="0076580C">
        <w:rPr>
          <w:rFonts w:ascii="Times New Roman" w:hAnsi="Times New Roman" w:cs="Times New Roman"/>
          <w:color w:val="000000" w:themeColor="text1"/>
          <w:lang w:val="el"/>
        </w:rPr>
        <w:t>.</w:t>
      </w:r>
    </w:p>
    <w:p w14:paraId="46BEDADB" w14:textId="3F3CC20B" w:rsidR="00E03E8D" w:rsidRPr="0076580C" w:rsidRDefault="00E03E8D" w:rsidP="003B4948">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NSRI Staff (2011). Glossary of Soil-Related Terms. </w:t>
      </w:r>
      <w:r w:rsidRPr="0076580C">
        <w:rPr>
          <w:rFonts w:ascii="Times New Roman" w:hAnsi="Times New Roman" w:cs="Times New Roman"/>
          <w:color w:val="000000" w:themeColor="text1"/>
          <w:lang w:val="el"/>
        </w:rPr>
        <w:t>9pp. NSRI, Cranfield University, UK,</w:t>
      </w:r>
      <w:r w:rsidRPr="0076580C">
        <w:rPr>
          <w:lang w:val="el"/>
        </w:rPr>
        <w:t xml:space="preserve"> </w:t>
      </w:r>
      <w:hyperlink r:id="rId23" w:history="1">
        <w:r w:rsidRPr="0076580C">
          <w:rPr>
            <w:rStyle w:val="Hyperlink"/>
            <w:rFonts w:ascii="Times New Roman" w:hAnsi="Times New Roman" w:cs="Times New Roman"/>
            <w:lang w:val="el"/>
          </w:rPr>
          <w:t>https://www.landis.org.uk/downloads/downloads/Glossary.pdf</w:t>
        </w:r>
      </w:hyperlink>
    </w:p>
    <w:p w14:paraId="22DED156" w14:textId="77777777" w:rsidR="00DD73DC" w:rsidRPr="0076580C" w:rsidRDefault="00DD73DC" w:rsidP="003B4948">
      <w:pPr>
        <w:pStyle w:val="ListParagraph"/>
        <w:numPr>
          <w:ilvl w:val="0"/>
          <w:numId w:val="1"/>
        </w:numPr>
        <w:ind w:left="426" w:hanging="426"/>
        <w:jc w:val="both"/>
        <w:rPr>
          <w:rFonts w:ascii="Times New Roman" w:hAnsi="Times New Roman" w:cs="Times New Roman"/>
          <w:color w:val="000000" w:themeColor="text1"/>
          <w:lang w:val="en-GB"/>
        </w:rPr>
      </w:pPr>
      <w:r w:rsidRPr="0076580C">
        <w:rPr>
          <w:rFonts w:ascii="Times New Roman" w:hAnsi="Times New Roman" w:cs="Times New Roman"/>
          <w:color w:val="000000" w:themeColor="text1"/>
          <w:lang w:val="da-DK"/>
        </w:rPr>
        <w:t xml:space="preserve">Reiff, J., Jungkunst, H.F., Mauser, K.M. et al. </w:t>
      </w:r>
      <w:r w:rsidRPr="00F94540">
        <w:rPr>
          <w:rFonts w:ascii="Times New Roman" w:hAnsi="Times New Roman" w:cs="Times New Roman"/>
          <w:color w:val="000000" w:themeColor="text1"/>
          <w:lang w:val="en-GB"/>
        </w:rPr>
        <w:t xml:space="preserve">(2024). Permaculture enhances carbon stocks, soil quality and biodiversity in Central Europe. </w:t>
      </w:r>
      <w:r w:rsidRPr="0076580C">
        <w:rPr>
          <w:rFonts w:ascii="Times New Roman" w:hAnsi="Times New Roman" w:cs="Times New Roman"/>
          <w:color w:val="000000" w:themeColor="text1"/>
          <w:lang w:val="el"/>
        </w:rPr>
        <w:t xml:space="preserve">Commun Earth Environ 5, 305. </w:t>
      </w:r>
      <w:r>
        <w:fldChar w:fldCharType="begin"/>
      </w:r>
      <w:r>
        <w:instrText>HYPERLINK "https://doi.org/10.1038/s43247-024-01405-8"</w:instrText>
      </w:r>
      <w:r>
        <w:fldChar w:fldCharType="separate"/>
      </w:r>
      <w:r w:rsidRPr="0076580C">
        <w:rPr>
          <w:rStyle w:val="Hyperlink"/>
          <w:rFonts w:ascii="Times New Roman" w:hAnsi="Times New Roman" w:cs="Times New Roman"/>
          <w:lang w:val="el"/>
        </w:rPr>
        <w:t>https://doi.org/10.1038/s43247-024-01405-8</w:t>
      </w:r>
      <w:r>
        <w:fldChar w:fldCharType="end"/>
      </w:r>
      <w:r w:rsidRPr="0076580C">
        <w:rPr>
          <w:rFonts w:ascii="Times New Roman" w:hAnsi="Times New Roman" w:cs="Times New Roman"/>
          <w:color w:val="000000" w:themeColor="text1"/>
          <w:lang w:val="el"/>
        </w:rPr>
        <w:t xml:space="preserve">. </w:t>
      </w:r>
    </w:p>
    <w:p w14:paraId="5911988C" w14:textId="5672D5D4" w:rsidR="003F1C18" w:rsidRPr="0076580C" w:rsidRDefault="003F1C18" w:rsidP="003B4948">
      <w:pPr>
        <w:pStyle w:val="ListParagraph"/>
        <w:numPr>
          <w:ilvl w:val="0"/>
          <w:numId w:val="1"/>
        </w:numPr>
        <w:ind w:left="426" w:hanging="426"/>
        <w:jc w:val="both"/>
        <w:rPr>
          <w:rFonts w:ascii="Times New Roman" w:hAnsi="Times New Roman" w:cs="Times New Roman"/>
          <w:color w:val="000000" w:themeColor="text1"/>
          <w:lang w:val="en-GB"/>
        </w:rPr>
      </w:pPr>
      <w:r w:rsidRPr="0076580C">
        <w:rPr>
          <w:rFonts w:ascii="Times New Roman" w:hAnsi="Times New Roman" w:cs="Times New Roman"/>
          <w:color w:val="000000" w:themeColor="text1"/>
          <w:lang w:val="pl-PL"/>
        </w:rPr>
        <w:t xml:space="preserve">Bednarek, R., Skiba, S. (2015). Czynniki i procesy glebotwórcze. </w:t>
      </w:r>
      <w:r w:rsidRPr="0076580C">
        <w:rPr>
          <w:rFonts w:ascii="Times New Roman" w:hAnsi="Times New Roman" w:cs="Times New Roman"/>
          <w:color w:val="000000" w:themeColor="text1"/>
          <w:lang w:val="el"/>
        </w:rPr>
        <w:t>Chapt 3 in: Mocek A. (Ed). Gleboznawstwo. PWN, Warszawa, Poland.</w:t>
      </w:r>
    </w:p>
    <w:p w14:paraId="13161791" w14:textId="77777777" w:rsidR="002A67F8" w:rsidRPr="0076580C" w:rsidRDefault="00AF434D" w:rsidP="00AE11B5">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W.E.H. Blum, W.E.H., Schad, P., Nortcliff, S. (2018). Essentials of soil science. </w:t>
      </w:r>
      <w:r w:rsidRPr="0076580C">
        <w:rPr>
          <w:rFonts w:ascii="Times New Roman" w:hAnsi="Times New Roman" w:cs="Times New Roman"/>
          <w:color w:val="000000" w:themeColor="text1"/>
          <w:lang w:val="el"/>
        </w:rPr>
        <w:t>Borntraeger Science Publishers, Stuttgart.</w:t>
      </w:r>
    </w:p>
    <w:p w14:paraId="5192CDF2" w14:textId="10D24064" w:rsidR="00AE11B5" w:rsidRPr="0076580C" w:rsidRDefault="00AE11B5" w:rsidP="00AE11B5">
      <w:pPr>
        <w:pStyle w:val="ListParagraph"/>
        <w:numPr>
          <w:ilvl w:val="0"/>
          <w:numId w:val="1"/>
        </w:numPr>
        <w:ind w:left="426" w:hanging="426"/>
        <w:jc w:val="both"/>
        <w:rPr>
          <w:rFonts w:ascii="Times New Roman" w:hAnsi="Times New Roman" w:cs="Times New Roman"/>
          <w:color w:val="000000" w:themeColor="text1"/>
          <w:lang w:val="en-GB"/>
        </w:rPr>
      </w:pPr>
      <w:r w:rsidRPr="0076580C">
        <w:rPr>
          <w:rFonts w:ascii="Times New Roman" w:hAnsi="Times New Roman" w:cs="Times New Roman"/>
          <w:color w:val="000000" w:themeColor="text1"/>
          <w:lang w:val="pl-PL"/>
        </w:rPr>
        <w:t xml:space="preserve">Kocira, A., Staniak, M., Tomaszewska, M., Kornas, R., Cymerman, J., Panasiewicz, K., &amp; Lipińska, H. (2020). </w:t>
      </w:r>
      <w:r w:rsidRPr="00F94540">
        <w:rPr>
          <w:rFonts w:ascii="Times New Roman" w:hAnsi="Times New Roman" w:cs="Times New Roman"/>
          <w:color w:val="000000" w:themeColor="text1"/>
          <w:lang w:val="en-GB"/>
        </w:rPr>
        <w:t xml:space="preserve">Legume Cover Crops as One of the Elements of Strategic Weed Management and Soil Quality Improvement. </w:t>
      </w:r>
      <w:r w:rsidRPr="0076580C">
        <w:rPr>
          <w:rFonts w:ascii="Times New Roman" w:hAnsi="Times New Roman" w:cs="Times New Roman"/>
          <w:color w:val="000000" w:themeColor="text1"/>
          <w:lang w:val="el"/>
        </w:rPr>
        <w:t>A Review. Agriculture. DOI:</w:t>
      </w:r>
      <w:r w:rsidRPr="0076580C">
        <w:rPr>
          <w:lang w:val="el"/>
        </w:rPr>
        <w:t xml:space="preserve"> </w:t>
      </w:r>
      <w:hyperlink r:id="rId24" w:history="1">
        <w:r w:rsidRPr="0076580C">
          <w:rPr>
            <w:rStyle w:val="Hyperlink"/>
            <w:rFonts w:ascii="Times New Roman" w:hAnsi="Times New Roman" w:cs="Times New Roman"/>
            <w:lang w:val="el"/>
          </w:rPr>
          <w:t>https://doi.org/10.3390/agriculture10090394</w:t>
        </w:r>
      </w:hyperlink>
      <w:r w:rsidRPr="0076580C">
        <w:rPr>
          <w:rFonts w:ascii="Times New Roman" w:hAnsi="Times New Roman" w:cs="Times New Roman"/>
          <w:color w:val="000000" w:themeColor="text1"/>
          <w:lang w:val="el"/>
        </w:rPr>
        <w:t>.</w:t>
      </w:r>
    </w:p>
    <w:p w14:paraId="07F3A691" w14:textId="0E81F9B7" w:rsidR="00AE11B5" w:rsidRPr="0076580C" w:rsidRDefault="00AE11B5" w:rsidP="00AE11B5">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Sharma, P., Singh, A., Kahlon, C.S., Brar, A.S., Grover, K., Dia, M., &amp; Steiner, R.L. (2018). The Role of Cover Crops towards Sustainable Soil Health and Agriculture—A Review Paper. American Journal of Plant Sciences, 09, 1935-1951. DOI: </w:t>
      </w:r>
      <w:hyperlink r:id="rId25" w:history="1">
        <w:r w:rsidRPr="00F94540">
          <w:rPr>
            <w:rStyle w:val="Hyperlink"/>
            <w:rFonts w:ascii="Times New Roman" w:hAnsi="Times New Roman" w:cs="Times New Roman"/>
            <w:lang w:val="en-GB"/>
          </w:rPr>
          <w:t>https://doi.org/10.4236/AJPS.2018.99140</w:t>
        </w:r>
      </w:hyperlink>
      <w:r w:rsidRPr="00F94540">
        <w:rPr>
          <w:rFonts w:ascii="Times New Roman" w:hAnsi="Times New Roman" w:cs="Times New Roman"/>
          <w:color w:val="000000" w:themeColor="text1"/>
          <w:lang w:val="en-GB"/>
        </w:rPr>
        <w:t>.</w:t>
      </w:r>
    </w:p>
    <w:p w14:paraId="2949C080" w14:textId="77777777" w:rsidR="00B54C32" w:rsidRPr="0076580C" w:rsidRDefault="00B54C32" w:rsidP="00AE11B5">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Molles, M. C. (2016). Ecology: concepts and applications. Seventh edition. New York, NY, McGraw-Hill Education.</w:t>
      </w:r>
    </w:p>
    <w:p w14:paraId="0D6AAE58" w14:textId="77777777" w:rsidR="00A561D2" w:rsidRPr="0076580C" w:rsidRDefault="00A561D2" w:rsidP="00AE11B5">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Cunningham, W.P., and Cunningham</w:t>
      </w:r>
      <w:r w:rsidR="00B54C32" w:rsidRPr="00F94540">
        <w:rPr>
          <w:rFonts w:ascii="Times New Roman" w:hAnsi="Times New Roman" w:cs="Times New Roman"/>
          <w:color w:val="000000" w:themeColor="text1"/>
          <w:lang w:val="en-GB"/>
        </w:rPr>
        <w:t>, M.A. (2002).</w:t>
      </w:r>
      <w:r w:rsidRPr="00F94540">
        <w:rPr>
          <w:rFonts w:ascii="Times New Roman" w:hAnsi="Times New Roman" w:cs="Times New Roman"/>
          <w:color w:val="000000" w:themeColor="text1"/>
          <w:lang w:val="en-GB"/>
        </w:rPr>
        <w:t xml:space="preserve"> Principles of Environmental Science: Inquiry and Applications. </w:t>
      </w:r>
      <w:r w:rsidRPr="0076580C">
        <w:rPr>
          <w:rFonts w:ascii="Times New Roman" w:hAnsi="Times New Roman" w:cs="Times New Roman"/>
          <w:color w:val="000000" w:themeColor="text1"/>
          <w:lang w:val="el"/>
        </w:rPr>
        <w:t>McGraw-Hill.</w:t>
      </w:r>
    </w:p>
    <w:p w14:paraId="50AF1027" w14:textId="0CA233CB" w:rsidR="00B54C32" w:rsidRPr="0076580C" w:rsidRDefault="00B54C32" w:rsidP="00AE11B5">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Diekmann, M., Andres, C., Becker, T., Bennie, J.J., Blüml, V., Bullock, J.M., Culmsee, H., </w:t>
      </w:r>
      <w:proofErr w:type="spellStart"/>
      <w:r w:rsidRPr="00F94540">
        <w:rPr>
          <w:rFonts w:ascii="Times New Roman" w:hAnsi="Times New Roman" w:cs="Times New Roman"/>
          <w:color w:val="000000" w:themeColor="text1"/>
          <w:lang w:val="en-GB"/>
        </w:rPr>
        <w:t>Fanigliulo</w:t>
      </w:r>
      <w:proofErr w:type="spellEnd"/>
      <w:r w:rsidRPr="00F94540">
        <w:rPr>
          <w:rFonts w:ascii="Times New Roman" w:hAnsi="Times New Roman" w:cs="Times New Roman"/>
          <w:color w:val="000000" w:themeColor="text1"/>
          <w:lang w:val="en-GB"/>
        </w:rPr>
        <w:t xml:space="preserve">, M., Hahn, A., </w:t>
      </w:r>
      <w:proofErr w:type="spellStart"/>
      <w:r w:rsidRPr="00F94540">
        <w:rPr>
          <w:rFonts w:ascii="Times New Roman" w:hAnsi="Times New Roman" w:cs="Times New Roman"/>
          <w:color w:val="000000" w:themeColor="text1"/>
          <w:lang w:val="en-GB"/>
        </w:rPr>
        <w:t>Heinken</w:t>
      </w:r>
      <w:proofErr w:type="spellEnd"/>
      <w:r w:rsidRPr="00F94540">
        <w:rPr>
          <w:rFonts w:ascii="Times New Roman" w:hAnsi="Times New Roman" w:cs="Times New Roman"/>
          <w:color w:val="000000" w:themeColor="text1"/>
          <w:lang w:val="en-GB"/>
        </w:rPr>
        <w:t>, T., Leuschner, C., Luka, S., Meissner, J., Müller, J., Newton, A.C., Peppler‐</w:t>
      </w:r>
      <w:proofErr w:type="spellStart"/>
      <w:r w:rsidRPr="00F94540">
        <w:rPr>
          <w:rFonts w:ascii="Times New Roman" w:hAnsi="Times New Roman" w:cs="Times New Roman"/>
          <w:color w:val="000000" w:themeColor="text1"/>
          <w:lang w:val="en-GB"/>
        </w:rPr>
        <w:t>Lisbach</w:t>
      </w:r>
      <w:proofErr w:type="spellEnd"/>
      <w:r w:rsidRPr="00F94540">
        <w:rPr>
          <w:rFonts w:ascii="Times New Roman" w:hAnsi="Times New Roman" w:cs="Times New Roman"/>
          <w:color w:val="000000" w:themeColor="text1"/>
          <w:lang w:val="en-GB"/>
        </w:rPr>
        <w:t xml:space="preserve">, C., Rosenthal, G., van den Berg, L.J., Vergeer, P., &amp; Wesche, K. (2019). Patterns of long‐term vegetation change vary between different types of semi‐natural grasslands in Western and Central Europe. </w:t>
      </w:r>
      <w:r w:rsidRPr="0076580C">
        <w:rPr>
          <w:rFonts w:ascii="Times New Roman" w:hAnsi="Times New Roman" w:cs="Times New Roman"/>
          <w:color w:val="000000" w:themeColor="text1"/>
          <w:lang w:val="el"/>
        </w:rPr>
        <w:t>Journal of Vegetation Science, 30, 187–202.</w:t>
      </w:r>
      <w:r w:rsidR="0000122B" w:rsidRPr="0076580C">
        <w:rPr>
          <w:rFonts w:ascii="Times New Roman" w:hAnsi="Times New Roman" w:cs="Times New Roman"/>
          <w:color w:val="000000" w:themeColor="text1"/>
          <w:lang w:val="el"/>
        </w:rPr>
        <w:t xml:space="preserve"> DOI:</w:t>
      </w:r>
      <w:r w:rsidR="0000122B" w:rsidRPr="0076580C">
        <w:rPr>
          <w:rFonts w:ascii="Times New Roman" w:hAnsi="Times New Roman" w:cs="Times New Roman"/>
          <w:lang w:val="el"/>
        </w:rPr>
        <w:t xml:space="preserve"> </w:t>
      </w:r>
      <w:hyperlink r:id="rId26" w:history="1">
        <w:r w:rsidR="0000122B" w:rsidRPr="0076580C">
          <w:rPr>
            <w:rStyle w:val="Hyperlink"/>
            <w:rFonts w:ascii="Times New Roman" w:hAnsi="Times New Roman" w:cs="Times New Roman"/>
            <w:lang w:val="el"/>
          </w:rPr>
          <w:t>https://doi.org/10.1111/jvs.12727</w:t>
        </w:r>
      </w:hyperlink>
      <w:r w:rsidR="0000122B" w:rsidRPr="0076580C">
        <w:rPr>
          <w:rFonts w:ascii="Times New Roman" w:hAnsi="Times New Roman" w:cs="Times New Roman"/>
          <w:color w:val="000000" w:themeColor="text1"/>
          <w:lang w:val="el"/>
        </w:rPr>
        <w:t>.</w:t>
      </w:r>
    </w:p>
    <w:p w14:paraId="670B8C1F" w14:textId="45A9A240" w:rsidR="0000122B" w:rsidRPr="0076580C" w:rsidRDefault="0000122B" w:rsidP="00AE11B5">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Medina-Álvarez, E., and Sánchez-Medina, P.S. (2023). Types of organizational culture and sustainability in ecotourism businesses in southern Mexico. Journal of Economics, Finance and Administrative Science. DOI: </w:t>
      </w:r>
      <w:hyperlink r:id="rId27" w:history="1">
        <w:r w:rsidRPr="00F94540">
          <w:rPr>
            <w:rStyle w:val="Hyperlink"/>
            <w:rFonts w:ascii="Times New Roman" w:hAnsi="Times New Roman" w:cs="Times New Roman"/>
            <w:lang w:val="en-GB"/>
          </w:rPr>
          <w:t>https://doi.org/10.1108/jefas-12-2021-0267</w:t>
        </w:r>
      </w:hyperlink>
      <w:r w:rsidRPr="00F94540">
        <w:rPr>
          <w:rFonts w:ascii="Times New Roman" w:hAnsi="Times New Roman" w:cs="Times New Roman"/>
          <w:color w:val="000000" w:themeColor="text1"/>
          <w:lang w:val="en-GB"/>
        </w:rPr>
        <w:t>.</w:t>
      </w:r>
    </w:p>
    <w:p w14:paraId="410B66F1" w14:textId="17C2513C" w:rsidR="00D33ED2" w:rsidRPr="0076580C" w:rsidRDefault="00D33ED2" w:rsidP="00AE11B5">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Johnson, K.L., Stone, W., Dominelli, L., Chivasa, S., Clarke, C.E., Gwandu, T., &amp; Appleby, J. (2023). Boosting soil literacy in schools can help improve understanding of soil/human health linkages in Generation Z. Frontiers in Environmental Science, vol. 10, 1-12. </w:t>
      </w:r>
      <w:r w:rsidRPr="0076580C">
        <w:rPr>
          <w:rFonts w:ascii="Times New Roman" w:hAnsi="Times New Roman" w:cs="Times New Roman"/>
          <w:color w:val="000000" w:themeColor="text1"/>
          <w:lang w:val="el"/>
        </w:rPr>
        <w:t xml:space="preserve">DOI: </w:t>
      </w:r>
      <w:r>
        <w:fldChar w:fldCharType="begin"/>
      </w:r>
      <w:r>
        <w:instrText>HYPERLINK "https://doi.org/10.3389/fenvs.2022.1028839"</w:instrText>
      </w:r>
      <w:r>
        <w:fldChar w:fldCharType="separate"/>
      </w:r>
      <w:r w:rsidRPr="0076580C">
        <w:rPr>
          <w:rStyle w:val="Hyperlink"/>
          <w:rFonts w:ascii="Times New Roman" w:hAnsi="Times New Roman" w:cs="Times New Roman"/>
          <w:lang w:val="el"/>
        </w:rPr>
        <w:t>https://doi.org/10.3389/fenvs.2022.1028839</w:t>
      </w:r>
      <w:r>
        <w:fldChar w:fldCharType="end"/>
      </w:r>
      <w:r w:rsidRPr="0076580C">
        <w:rPr>
          <w:rFonts w:ascii="Times New Roman" w:hAnsi="Times New Roman" w:cs="Times New Roman"/>
          <w:color w:val="000000" w:themeColor="text1"/>
          <w:lang w:val="el"/>
        </w:rPr>
        <w:t>.</w:t>
      </w:r>
    </w:p>
    <w:p w14:paraId="6D78F1AE" w14:textId="77777777" w:rsidR="00CB0D6C" w:rsidRPr="0076580C" w:rsidRDefault="00CB0D6C" w:rsidP="00AE11B5">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Levy, R. (2023). Home–school communication: what we have learned from the pandemic. </w:t>
      </w:r>
      <w:r w:rsidRPr="0076580C">
        <w:rPr>
          <w:rFonts w:ascii="Times New Roman" w:hAnsi="Times New Roman" w:cs="Times New Roman"/>
          <w:color w:val="000000" w:themeColor="text1"/>
          <w:lang w:val="el"/>
        </w:rPr>
        <w:t xml:space="preserve">Education 3-13, 52(1), 21–32. </w:t>
      </w:r>
      <w:r w:rsidR="006F7FFC">
        <w:fldChar w:fldCharType="begin"/>
      </w:r>
      <w:r w:rsidR="006F7FFC">
        <w:instrText>HYPERLINK "https://doi.org/10.1080/03004279.2023.2186972"</w:instrText>
      </w:r>
      <w:r w:rsidR="006F7FFC">
        <w:fldChar w:fldCharType="separate"/>
      </w:r>
      <w:r w:rsidR="006F7FFC" w:rsidRPr="0076580C">
        <w:rPr>
          <w:rStyle w:val="Hyperlink"/>
          <w:rFonts w:ascii="Times New Roman" w:hAnsi="Times New Roman" w:cs="Times New Roman"/>
          <w:lang w:val="el"/>
        </w:rPr>
        <w:t>https://doi.org/10.1080/03004279.2023.2186972</w:t>
      </w:r>
      <w:r w:rsidR="006F7FFC">
        <w:fldChar w:fldCharType="end"/>
      </w:r>
    </w:p>
    <w:p w14:paraId="53DCA103" w14:textId="3172D9E0" w:rsidR="006F7FFC" w:rsidRPr="0076580C" w:rsidRDefault="006F7FFC" w:rsidP="00AE11B5">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Social and Behaviour Change Communication</w:t>
      </w:r>
      <w:r w:rsidR="002841B1" w:rsidRPr="00F94540">
        <w:rPr>
          <w:rFonts w:ascii="Times New Roman" w:hAnsi="Times New Roman" w:cs="Times New Roman"/>
          <w:color w:val="000000" w:themeColor="text1"/>
          <w:lang w:val="en-GB"/>
        </w:rPr>
        <w:t xml:space="preserve"> (UNICEF). Designing holistic and data-driven communications to enable change. </w:t>
      </w:r>
      <w:hyperlink r:id="rId28" w:history="1">
        <w:r w:rsidR="002841B1" w:rsidRPr="00F94540">
          <w:rPr>
            <w:rStyle w:val="Hyperlink"/>
            <w:rFonts w:ascii="Times New Roman" w:hAnsi="Times New Roman" w:cs="Times New Roman"/>
            <w:lang w:val="en-GB"/>
          </w:rPr>
          <w:t>https://www.sbcguidance.org/understand/social-and-behaviour-change-communication</w:t>
        </w:r>
      </w:hyperlink>
      <w:r w:rsidR="002841B1" w:rsidRPr="00F94540">
        <w:rPr>
          <w:rFonts w:ascii="Times New Roman" w:hAnsi="Times New Roman" w:cs="Times New Roman"/>
          <w:color w:val="000000" w:themeColor="text1"/>
          <w:lang w:val="en-GB"/>
        </w:rPr>
        <w:t xml:space="preserve"> (Acce</w:t>
      </w:r>
      <w:r w:rsidR="0000609E" w:rsidRPr="00F94540">
        <w:rPr>
          <w:rFonts w:ascii="Times New Roman" w:hAnsi="Times New Roman" w:cs="Times New Roman"/>
          <w:color w:val="000000" w:themeColor="text1"/>
          <w:lang w:val="en-GB"/>
        </w:rPr>
        <w:t>s</w:t>
      </w:r>
      <w:r w:rsidR="002841B1" w:rsidRPr="00F94540">
        <w:rPr>
          <w:rFonts w:ascii="Times New Roman" w:hAnsi="Times New Roman" w:cs="Times New Roman"/>
          <w:color w:val="000000" w:themeColor="text1"/>
          <w:lang w:val="en-GB"/>
        </w:rPr>
        <w:t>sed: 23.10.2024)</w:t>
      </w:r>
    </w:p>
    <w:p w14:paraId="5219D338" w14:textId="7C3FC629" w:rsidR="002841B1" w:rsidRPr="0076580C" w:rsidRDefault="002841B1" w:rsidP="00AE11B5">
      <w:pPr>
        <w:pStyle w:val="ListParagraph"/>
        <w:numPr>
          <w:ilvl w:val="0"/>
          <w:numId w:val="1"/>
        </w:numPr>
        <w:ind w:left="426" w:hanging="426"/>
        <w:jc w:val="both"/>
        <w:rPr>
          <w:rFonts w:ascii="Times New Roman" w:hAnsi="Times New Roman" w:cs="Times New Roman"/>
          <w:color w:val="000000" w:themeColor="text1"/>
          <w:lang w:val="en-GB"/>
        </w:rPr>
      </w:pPr>
      <w:proofErr w:type="spellStart"/>
      <w:r w:rsidRPr="00F94540">
        <w:rPr>
          <w:rFonts w:ascii="Times New Roman" w:hAnsi="Times New Roman" w:cs="Times New Roman"/>
          <w:color w:val="000000" w:themeColor="text1"/>
          <w:lang w:val="en-GB"/>
        </w:rPr>
        <w:t>Crawfoord</w:t>
      </w:r>
      <w:proofErr w:type="spellEnd"/>
      <w:r w:rsidRPr="00F94540">
        <w:rPr>
          <w:rFonts w:ascii="Times New Roman" w:hAnsi="Times New Roman" w:cs="Times New Roman"/>
          <w:color w:val="000000" w:themeColor="text1"/>
          <w:lang w:val="en-GB"/>
        </w:rPr>
        <w:t>, J. (2021).</w:t>
      </w:r>
      <w:r w:rsidRPr="00F94540">
        <w:rPr>
          <w:rFonts w:ascii="Times New Roman" w:hAnsi="Times New Roman" w:cs="Times New Roman"/>
          <w:lang w:val="en-GB"/>
        </w:rPr>
        <w:t xml:space="preserve"> </w:t>
      </w:r>
      <w:r w:rsidR="00AD37EC" w:rsidRPr="00F94540">
        <w:rPr>
          <w:rFonts w:ascii="Times New Roman" w:hAnsi="Times New Roman" w:cs="Times New Roman"/>
          <w:lang w:val="en-GB"/>
        </w:rPr>
        <w:t>1</w:t>
      </w:r>
      <w:r w:rsidRPr="00F94540">
        <w:rPr>
          <w:rFonts w:ascii="Times New Roman" w:hAnsi="Times New Roman" w:cs="Times New Roman"/>
          <w:color w:val="000000" w:themeColor="text1"/>
          <w:lang w:val="en-GB"/>
        </w:rPr>
        <w:t xml:space="preserve">0 </w:t>
      </w:r>
      <w:r w:rsidR="0000609E" w:rsidRPr="00F94540">
        <w:rPr>
          <w:rFonts w:ascii="Times New Roman" w:hAnsi="Times New Roman" w:cs="Times New Roman"/>
          <w:color w:val="000000" w:themeColor="text1"/>
          <w:lang w:val="en-GB"/>
        </w:rPr>
        <w:t>new</w:t>
      </w:r>
      <w:r w:rsidRPr="00F94540">
        <w:rPr>
          <w:rFonts w:ascii="Times New Roman" w:hAnsi="Times New Roman" w:cs="Times New Roman"/>
          <w:color w:val="000000" w:themeColor="text1"/>
          <w:lang w:val="en-GB"/>
        </w:rPr>
        <w:t xml:space="preserve"> </w:t>
      </w:r>
      <w:r w:rsidR="00AD37EC" w:rsidRPr="00F94540">
        <w:rPr>
          <w:rFonts w:ascii="Times New Roman" w:hAnsi="Times New Roman" w:cs="Times New Roman"/>
          <w:color w:val="000000" w:themeColor="text1"/>
          <w:lang w:val="en-GB"/>
        </w:rPr>
        <w:t>w</w:t>
      </w:r>
      <w:r w:rsidRPr="00F94540">
        <w:rPr>
          <w:rFonts w:ascii="Times New Roman" w:hAnsi="Times New Roman" w:cs="Times New Roman"/>
          <w:color w:val="000000" w:themeColor="text1"/>
          <w:lang w:val="en-GB"/>
        </w:rPr>
        <w:t xml:space="preserve">ays to </w:t>
      </w:r>
      <w:r w:rsidR="00AD37EC" w:rsidRPr="00F94540">
        <w:rPr>
          <w:rFonts w:ascii="Times New Roman" w:hAnsi="Times New Roman" w:cs="Times New Roman"/>
          <w:color w:val="000000" w:themeColor="text1"/>
          <w:lang w:val="en-GB"/>
        </w:rPr>
        <w:t>c</w:t>
      </w:r>
      <w:r w:rsidRPr="00F94540">
        <w:rPr>
          <w:rFonts w:ascii="Times New Roman" w:hAnsi="Times New Roman" w:cs="Times New Roman"/>
          <w:color w:val="000000" w:themeColor="text1"/>
          <w:lang w:val="en-GB"/>
        </w:rPr>
        <w:t xml:space="preserve">ommunicate in </w:t>
      </w:r>
      <w:r w:rsidR="00AD37EC" w:rsidRPr="00F94540">
        <w:rPr>
          <w:rFonts w:ascii="Times New Roman" w:hAnsi="Times New Roman" w:cs="Times New Roman"/>
          <w:color w:val="000000" w:themeColor="text1"/>
          <w:lang w:val="en-GB"/>
        </w:rPr>
        <w:t>t</w:t>
      </w:r>
      <w:r w:rsidRPr="00F94540">
        <w:rPr>
          <w:rFonts w:ascii="Times New Roman" w:hAnsi="Times New Roman" w:cs="Times New Roman"/>
          <w:color w:val="000000" w:themeColor="text1"/>
          <w:lang w:val="en-GB"/>
        </w:rPr>
        <w:t xml:space="preserve">he </w:t>
      </w:r>
      <w:r w:rsidR="00AD37EC" w:rsidRPr="00F94540">
        <w:rPr>
          <w:rFonts w:ascii="Times New Roman" w:hAnsi="Times New Roman" w:cs="Times New Roman"/>
          <w:color w:val="000000" w:themeColor="text1"/>
          <w:lang w:val="en-GB"/>
        </w:rPr>
        <w:t>a</w:t>
      </w:r>
      <w:r w:rsidRPr="00F94540">
        <w:rPr>
          <w:rFonts w:ascii="Times New Roman" w:hAnsi="Times New Roman" w:cs="Times New Roman"/>
          <w:color w:val="000000" w:themeColor="text1"/>
          <w:lang w:val="en-GB"/>
        </w:rPr>
        <w:t xml:space="preserve">ge </w:t>
      </w:r>
      <w:r w:rsidR="00AD37EC" w:rsidRPr="00F94540">
        <w:rPr>
          <w:rFonts w:ascii="Times New Roman" w:hAnsi="Times New Roman" w:cs="Times New Roman"/>
          <w:color w:val="000000" w:themeColor="text1"/>
          <w:lang w:val="en-GB"/>
        </w:rPr>
        <w:t>o</w:t>
      </w:r>
      <w:r w:rsidRPr="00F94540">
        <w:rPr>
          <w:rFonts w:ascii="Times New Roman" w:hAnsi="Times New Roman" w:cs="Times New Roman"/>
          <w:color w:val="000000" w:themeColor="text1"/>
          <w:lang w:val="en-GB"/>
        </w:rPr>
        <w:t xml:space="preserve">f </w:t>
      </w:r>
      <w:r w:rsidR="00AD37EC" w:rsidRPr="00F94540">
        <w:rPr>
          <w:rFonts w:ascii="Times New Roman" w:hAnsi="Times New Roman" w:cs="Times New Roman"/>
          <w:color w:val="000000" w:themeColor="text1"/>
          <w:lang w:val="en-GB"/>
        </w:rPr>
        <w:t>d</w:t>
      </w:r>
      <w:r w:rsidRPr="00F94540">
        <w:rPr>
          <w:rFonts w:ascii="Times New Roman" w:hAnsi="Times New Roman" w:cs="Times New Roman"/>
          <w:color w:val="000000" w:themeColor="text1"/>
          <w:lang w:val="en-GB"/>
        </w:rPr>
        <w:t xml:space="preserve">igital </w:t>
      </w:r>
      <w:r w:rsidR="00AD37EC" w:rsidRPr="00F94540">
        <w:rPr>
          <w:rFonts w:ascii="Times New Roman" w:hAnsi="Times New Roman" w:cs="Times New Roman"/>
          <w:color w:val="000000" w:themeColor="text1"/>
          <w:lang w:val="en-GB"/>
        </w:rPr>
        <w:t>t</w:t>
      </w:r>
      <w:r w:rsidRPr="00F94540">
        <w:rPr>
          <w:rFonts w:ascii="Times New Roman" w:hAnsi="Times New Roman" w:cs="Times New Roman"/>
          <w:color w:val="000000" w:themeColor="text1"/>
          <w:lang w:val="en-GB"/>
        </w:rPr>
        <w:t xml:space="preserve">echnology. </w:t>
      </w:r>
      <w:hyperlink r:id="rId29" w:history="1">
        <w:r w:rsidRPr="00F94540">
          <w:rPr>
            <w:rStyle w:val="Hyperlink"/>
            <w:rFonts w:ascii="Times New Roman" w:hAnsi="Times New Roman" w:cs="Times New Roman"/>
            <w:lang w:val="en-GB"/>
          </w:rPr>
          <w:t>https://techresearchonline.com/blog/10-new-ways-to-communicate-digitally-age-of-digital-technology/</w:t>
        </w:r>
      </w:hyperlink>
      <w:r w:rsidRPr="00F94540">
        <w:rPr>
          <w:rFonts w:ascii="Times New Roman" w:hAnsi="Times New Roman" w:cs="Times New Roman"/>
          <w:color w:val="000000" w:themeColor="text1"/>
          <w:lang w:val="en-GB"/>
        </w:rPr>
        <w:t xml:space="preserve"> (</w:t>
      </w:r>
      <w:bookmarkStart w:id="4" w:name="_Hlk180708377"/>
      <w:r w:rsidRPr="00F94540">
        <w:rPr>
          <w:rFonts w:ascii="Times New Roman" w:hAnsi="Times New Roman" w:cs="Times New Roman"/>
          <w:color w:val="000000" w:themeColor="text1"/>
          <w:lang w:val="en-GB"/>
        </w:rPr>
        <w:t>Acces</w:t>
      </w:r>
      <w:r w:rsidR="0000609E" w:rsidRPr="00F94540">
        <w:rPr>
          <w:rFonts w:ascii="Times New Roman" w:hAnsi="Times New Roman" w:cs="Times New Roman"/>
          <w:color w:val="000000" w:themeColor="text1"/>
          <w:lang w:val="en-GB"/>
        </w:rPr>
        <w:t>s</w:t>
      </w:r>
      <w:r w:rsidRPr="00F94540">
        <w:rPr>
          <w:rFonts w:ascii="Times New Roman" w:hAnsi="Times New Roman" w:cs="Times New Roman"/>
          <w:color w:val="000000" w:themeColor="text1"/>
          <w:lang w:val="en-GB"/>
        </w:rPr>
        <w:t>ed: 23.10.2024</w:t>
      </w:r>
      <w:bookmarkEnd w:id="4"/>
      <w:r w:rsidRPr="00F94540">
        <w:rPr>
          <w:rFonts w:ascii="Times New Roman" w:hAnsi="Times New Roman" w:cs="Times New Roman"/>
          <w:color w:val="000000" w:themeColor="text1"/>
          <w:lang w:val="en-GB"/>
        </w:rPr>
        <w:t>)</w:t>
      </w:r>
      <w:r w:rsidR="000666CF" w:rsidRPr="00F94540">
        <w:rPr>
          <w:rFonts w:ascii="Times New Roman" w:hAnsi="Times New Roman" w:cs="Times New Roman"/>
          <w:color w:val="000000" w:themeColor="text1"/>
          <w:lang w:val="en-GB"/>
        </w:rPr>
        <w:t>.</w:t>
      </w:r>
    </w:p>
    <w:p w14:paraId="43C8F119" w14:textId="14B3386D" w:rsidR="00BE5454" w:rsidRPr="0076580C" w:rsidRDefault="00BE5454" w:rsidP="00AE11B5">
      <w:pPr>
        <w:pStyle w:val="ListParagraph"/>
        <w:numPr>
          <w:ilvl w:val="0"/>
          <w:numId w:val="1"/>
        </w:numPr>
        <w:ind w:left="426" w:hanging="426"/>
        <w:jc w:val="both"/>
        <w:rPr>
          <w:rFonts w:ascii="Times New Roman" w:hAnsi="Times New Roman" w:cs="Times New Roman"/>
          <w:color w:val="000000" w:themeColor="text1"/>
          <w:lang w:val="en-GB"/>
        </w:rPr>
      </w:pPr>
      <w:r w:rsidRPr="0076580C">
        <w:rPr>
          <w:rFonts w:ascii="Times New Roman" w:hAnsi="Times New Roman" w:cs="Times New Roman"/>
          <w:color w:val="000000" w:themeColor="text1"/>
          <w:lang w:val="it-IT"/>
        </w:rPr>
        <w:t xml:space="preserve">Chandler, E., Ignagni, E., &amp; Collins, K. (2021). </w:t>
      </w:r>
      <w:r w:rsidRPr="00F94540">
        <w:rPr>
          <w:rFonts w:ascii="Times New Roman" w:hAnsi="Times New Roman" w:cs="Times New Roman"/>
          <w:color w:val="000000" w:themeColor="text1"/>
          <w:lang w:val="en-GB"/>
        </w:rPr>
        <w:t>Communicating access, accessing</w:t>
      </w:r>
      <w:r w:rsidR="003036C6" w:rsidRPr="00F94540">
        <w:rPr>
          <w:rFonts w:ascii="Times New Roman" w:hAnsi="Times New Roman" w:cs="Times New Roman"/>
          <w:color w:val="000000" w:themeColor="text1"/>
          <w:lang w:val="en-GB"/>
        </w:rPr>
        <w:t xml:space="preserve"> </w:t>
      </w:r>
      <w:r w:rsidRPr="00F94540">
        <w:rPr>
          <w:rFonts w:ascii="Times New Roman" w:hAnsi="Times New Roman" w:cs="Times New Roman"/>
          <w:color w:val="000000" w:themeColor="text1"/>
          <w:lang w:val="en-GB"/>
        </w:rPr>
        <w:t>communication. Studies in Social Justice, 15(2), 230-238.</w:t>
      </w:r>
      <w:r w:rsidRPr="00F94540">
        <w:rPr>
          <w:lang w:val="en-GB"/>
        </w:rPr>
        <w:t xml:space="preserve"> </w:t>
      </w:r>
      <w:hyperlink r:id="rId30" w:history="1">
        <w:r w:rsidRPr="0076580C">
          <w:rPr>
            <w:rStyle w:val="Hyperlink"/>
            <w:rFonts w:ascii="Times New Roman" w:hAnsi="Times New Roman" w:cs="Times New Roman"/>
            <w:lang w:val="el"/>
          </w:rPr>
          <w:t>https://doi.org/10.26522/ssj.v15i2.2657</w:t>
        </w:r>
      </w:hyperlink>
      <w:r w:rsidRPr="0076580C">
        <w:rPr>
          <w:rFonts w:ascii="Times New Roman" w:hAnsi="Times New Roman" w:cs="Times New Roman"/>
          <w:color w:val="000000" w:themeColor="text1"/>
          <w:lang w:val="el"/>
        </w:rPr>
        <w:t>.</w:t>
      </w:r>
    </w:p>
    <w:p w14:paraId="0ED61930" w14:textId="3A8867F8" w:rsidR="00392C41" w:rsidRPr="0076580C" w:rsidRDefault="00392C41" w:rsidP="00392C41">
      <w:pPr>
        <w:pStyle w:val="ListParagraph"/>
        <w:numPr>
          <w:ilvl w:val="0"/>
          <w:numId w:val="1"/>
        </w:numPr>
        <w:ind w:left="426" w:hanging="426"/>
        <w:jc w:val="both"/>
        <w:rPr>
          <w:rFonts w:ascii="Times New Roman" w:hAnsi="Times New Roman" w:cs="Times New Roman"/>
          <w:color w:val="000000" w:themeColor="text1"/>
          <w:lang w:val="en-GB"/>
        </w:rPr>
      </w:pPr>
      <w:hyperlink r:id="rId31" w:history="1">
        <w:r w:rsidRPr="00F94540">
          <w:rPr>
            <w:rStyle w:val="Hyperlink"/>
            <w:rFonts w:ascii="Times New Roman" w:hAnsi="Times New Roman" w:cs="Times New Roman"/>
            <w:lang w:val="en-GB"/>
          </w:rPr>
          <w:t>https://www.oed.com/search/dictionary</w:t>
        </w:r>
      </w:hyperlink>
    </w:p>
    <w:p w14:paraId="4690F664" w14:textId="77777777" w:rsidR="00392C41" w:rsidRPr="0076580C" w:rsidRDefault="00392C41" w:rsidP="00392C41">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Trevithick, PA. (2000). Social Work Skills: A Practice Handbook. </w:t>
      </w:r>
      <w:r w:rsidRPr="0076580C">
        <w:rPr>
          <w:rFonts w:ascii="Times New Roman" w:hAnsi="Times New Roman" w:cs="Times New Roman"/>
          <w:color w:val="000000" w:themeColor="text1"/>
          <w:lang w:val="el"/>
        </w:rPr>
        <w:t>Open University Press.</w:t>
      </w:r>
    </w:p>
    <w:p w14:paraId="42493DC2" w14:textId="5F2A7E35" w:rsidR="000666CF" w:rsidRPr="0076580C" w:rsidRDefault="000666CF" w:rsidP="00392C41">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World Health Organisation (2011). World Report on Disability 2011.</w:t>
      </w:r>
      <w:r w:rsidRPr="00F94540">
        <w:rPr>
          <w:lang w:val="en-GB"/>
        </w:rPr>
        <w:t xml:space="preserve"> </w:t>
      </w:r>
      <w:hyperlink r:id="rId32" w:history="1">
        <w:r w:rsidRPr="0076580C">
          <w:rPr>
            <w:rStyle w:val="Hyperlink"/>
            <w:rFonts w:ascii="Times New Roman" w:hAnsi="Times New Roman" w:cs="Times New Roman"/>
          </w:rPr>
          <w:t>https://www.who.int/teams/noncommunicable-diseases/sensory-functions-disability-and-rehabilitation/world-report-on-disability</w:t>
        </w:r>
      </w:hyperlink>
      <w:r w:rsidRPr="0076580C">
        <w:rPr>
          <w:rFonts w:ascii="Times New Roman" w:hAnsi="Times New Roman" w:cs="Times New Roman"/>
          <w:color w:val="000000" w:themeColor="text1"/>
        </w:rPr>
        <w:t xml:space="preserve">. </w:t>
      </w:r>
      <w:r w:rsidRPr="0076580C">
        <w:rPr>
          <w:rFonts w:ascii="Times New Roman" w:hAnsi="Times New Roman" w:cs="Times New Roman"/>
          <w:color w:val="000000" w:themeColor="text1"/>
          <w:lang w:val="el"/>
        </w:rPr>
        <w:t>(Acce</w:t>
      </w:r>
      <w:r w:rsidR="0000609E" w:rsidRPr="0076580C">
        <w:rPr>
          <w:rFonts w:ascii="Times New Roman" w:hAnsi="Times New Roman" w:cs="Times New Roman"/>
          <w:color w:val="000000" w:themeColor="text1"/>
          <w:lang w:val="el"/>
        </w:rPr>
        <w:t>s</w:t>
      </w:r>
      <w:r w:rsidRPr="0076580C">
        <w:rPr>
          <w:rFonts w:ascii="Times New Roman" w:hAnsi="Times New Roman" w:cs="Times New Roman"/>
          <w:color w:val="000000" w:themeColor="text1"/>
          <w:lang w:val="el"/>
        </w:rPr>
        <w:t>sed: 23.10.2024).</w:t>
      </w:r>
    </w:p>
    <w:p w14:paraId="39E51A01" w14:textId="1E1D253E" w:rsidR="00B6198C" w:rsidRPr="0076580C" w:rsidRDefault="00B6198C" w:rsidP="00AE2113">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What is transdisciplinary research, Utrecht University. </w:t>
      </w:r>
      <w:hyperlink r:id="rId33" w:history="1">
        <w:r w:rsidRPr="00F94540">
          <w:rPr>
            <w:rStyle w:val="Hyperlink"/>
            <w:rFonts w:ascii="Times New Roman" w:hAnsi="Times New Roman" w:cs="Times New Roman"/>
            <w:lang w:val="en-GB"/>
          </w:rPr>
          <w:t>https://www.uu.nl/en/research/transdisciplinary-field-guide/get-started/what-is-transdisciplinary-research</w:t>
        </w:r>
      </w:hyperlink>
      <w:r w:rsidRPr="00F94540">
        <w:rPr>
          <w:rFonts w:ascii="Times New Roman" w:hAnsi="Times New Roman" w:cs="Times New Roman"/>
          <w:color w:val="000000" w:themeColor="text1"/>
          <w:lang w:val="en-GB"/>
        </w:rPr>
        <w:t xml:space="preserve"> (Acce</w:t>
      </w:r>
      <w:r w:rsidR="0000609E" w:rsidRPr="00F94540">
        <w:rPr>
          <w:rFonts w:ascii="Times New Roman" w:hAnsi="Times New Roman" w:cs="Times New Roman"/>
          <w:color w:val="000000" w:themeColor="text1"/>
          <w:lang w:val="en-GB"/>
        </w:rPr>
        <w:t>s</w:t>
      </w:r>
      <w:r w:rsidRPr="00F94540">
        <w:rPr>
          <w:rFonts w:ascii="Times New Roman" w:hAnsi="Times New Roman" w:cs="Times New Roman"/>
          <w:color w:val="000000" w:themeColor="text1"/>
          <w:lang w:val="en-GB"/>
        </w:rPr>
        <w:t>sed: 23.10.2024).</w:t>
      </w:r>
    </w:p>
    <w:p w14:paraId="65A56D86" w14:textId="42BF246C" w:rsidR="00AE2113" w:rsidRPr="0076580C" w:rsidRDefault="003036C6" w:rsidP="00AE2113">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Newell, W. H. (2001). A Theory of Interdisciplinary Studies. Issues in Integrative Studies, 19, 1-24.</w:t>
      </w:r>
      <w:r w:rsidRPr="00F94540">
        <w:rPr>
          <w:lang w:val="en-GB"/>
        </w:rPr>
        <w:t xml:space="preserve"> </w:t>
      </w:r>
      <w:hyperlink r:id="rId34" w:history="1">
        <w:r w:rsidRPr="00F94540">
          <w:rPr>
            <w:rStyle w:val="Hyperlink"/>
            <w:rFonts w:ascii="Times New Roman" w:hAnsi="Times New Roman" w:cs="Times New Roman"/>
            <w:lang w:val="en-GB"/>
          </w:rPr>
          <w:t>https://web.mit.edu/jrankin/www/interdisciplinary/interdisc_Newell.pdf</w:t>
        </w:r>
      </w:hyperlink>
      <w:r w:rsidRPr="00F94540">
        <w:rPr>
          <w:rFonts w:ascii="Times New Roman" w:hAnsi="Times New Roman" w:cs="Times New Roman"/>
          <w:color w:val="000000" w:themeColor="text1"/>
          <w:lang w:val="en-GB"/>
        </w:rPr>
        <w:t>.</w:t>
      </w:r>
    </w:p>
    <w:p w14:paraId="531C33A4" w14:textId="1CC3CBA1" w:rsidR="003036C6" w:rsidRPr="0076580C" w:rsidRDefault="00AE2113" w:rsidP="00AE2113">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Resh, H.M. and Howard, M. (2012)</w:t>
      </w:r>
      <w:r w:rsidR="00430B8F" w:rsidRPr="00F94540">
        <w:rPr>
          <w:rFonts w:ascii="Times New Roman" w:hAnsi="Times New Roman" w:cs="Times New Roman"/>
          <w:color w:val="000000" w:themeColor="text1"/>
          <w:lang w:val="en-GB"/>
        </w:rPr>
        <w:t>.</w:t>
      </w:r>
      <w:r w:rsidRPr="00F94540">
        <w:rPr>
          <w:rFonts w:ascii="Times New Roman" w:hAnsi="Times New Roman" w:cs="Times New Roman"/>
          <w:color w:val="000000" w:themeColor="text1"/>
          <w:lang w:val="en-GB"/>
        </w:rPr>
        <w:t xml:space="preserve"> Hydroponic Food Production: A Definitive Guidebook for the Advanced Home Gardener and the Commercial Hydroponic Grower. </w:t>
      </w:r>
      <w:r w:rsidRPr="0076580C">
        <w:rPr>
          <w:rFonts w:ascii="Times New Roman" w:hAnsi="Times New Roman" w:cs="Times New Roman"/>
          <w:color w:val="000000" w:themeColor="text1"/>
          <w:lang w:val="el"/>
        </w:rPr>
        <w:t>CRC Press, Santa Barbara, California.</w:t>
      </w:r>
      <w:r w:rsidR="00430B8F" w:rsidRPr="0076580C">
        <w:rPr>
          <w:rFonts w:ascii="Times New Roman" w:hAnsi="Times New Roman" w:cs="Times New Roman"/>
          <w:color w:val="000000" w:themeColor="text1"/>
          <w:lang w:val="el"/>
        </w:rPr>
        <w:t xml:space="preserve"> DOI: </w:t>
      </w:r>
      <w:hyperlink r:id="rId35" w:history="1">
        <w:r w:rsidR="00430B8F" w:rsidRPr="0076580C">
          <w:rPr>
            <w:rStyle w:val="Hyperlink"/>
            <w:rFonts w:ascii="Times New Roman" w:hAnsi="Times New Roman" w:cs="Times New Roman"/>
            <w:lang w:val="el"/>
          </w:rPr>
          <w:t>http://dx.doi.org/10.1201/b12500</w:t>
        </w:r>
      </w:hyperlink>
      <w:r w:rsidR="00430B8F" w:rsidRPr="0076580C">
        <w:rPr>
          <w:rFonts w:ascii="Times New Roman" w:hAnsi="Times New Roman" w:cs="Times New Roman"/>
          <w:color w:val="000000" w:themeColor="text1"/>
          <w:lang w:val="el"/>
        </w:rPr>
        <w:t>.</w:t>
      </w:r>
    </w:p>
    <w:p w14:paraId="711FCFB3" w14:textId="1DB56EC7" w:rsidR="00BD4C94" w:rsidRPr="0076580C" w:rsidRDefault="00B43EA9" w:rsidP="00BD4C94">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Adriano, D. C. (2001). Trace Elements in Terrestrial Environments: Biogeochemistry, Bioavailability, and Risks of Metals. </w:t>
      </w:r>
      <w:r w:rsidRPr="0076580C">
        <w:rPr>
          <w:rFonts w:ascii="Times New Roman" w:hAnsi="Times New Roman" w:cs="Times New Roman"/>
          <w:color w:val="000000" w:themeColor="text1"/>
          <w:lang w:val="el"/>
        </w:rPr>
        <w:t>Springer.</w:t>
      </w:r>
    </w:p>
    <w:p w14:paraId="7BF5F264" w14:textId="54678D14" w:rsidR="00DB0D05" w:rsidRPr="0076580C" w:rsidRDefault="00BD4C94" w:rsidP="00BD4C94">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Gupta, P.K., Goel, M. (2021). Environmental Tracers and Isotopic Techniques: Tools for Sustainable Water Management. In: Adhikary, P.P., Shit, P.K., Santra, P., Bhunia, G.S., Tiwari, A.K., Chaudhary, B.S. (eds) </w:t>
      </w:r>
      <w:proofErr w:type="spellStart"/>
      <w:r w:rsidRPr="00F94540">
        <w:rPr>
          <w:rFonts w:ascii="Times New Roman" w:hAnsi="Times New Roman" w:cs="Times New Roman"/>
          <w:color w:val="000000" w:themeColor="text1"/>
          <w:lang w:val="en-GB"/>
        </w:rPr>
        <w:t>Geostatistics</w:t>
      </w:r>
      <w:proofErr w:type="spellEnd"/>
      <w:r w:rsidRPr="00F94540">
        <w:rPr>
          <w:rFonts w:ascii="Times New Roman" w:hAnsi="Times New Roman" w:cs="Times New Roman"/>
          <w:color w:val="000000" w:themeColor="text1"/>
          <w:lang w:val="en-GB"/>
        </w:rPr>
        <w:t xml:space="preserve"> and Geospatial Technologies for Groundwater Resources in India. </w:t>
      </w:r>
      <w:r w:rsidRPr="0076580C">
        <w:rPr>
          <w:rFonts w:ascii="Times New Roman" w:hAnsi="Times New Roman" w:cs="Times New Roman"/>
          <w:color w:val="000000" w:themeColor="text1"/>
          <w:lang w:val="el"/>
        </w:rPr>
        <w:t xml:space="preserve">Springer Hydrogeology. Springer, Cham. </w:t>
      </w:r>
      <w:r>
        <w:fldChar w:fldCharType="begin"/>
      </w:r>
      <w:r>
        <w:instrText>HYPERLINK "https://doi.org/10.1007/978-3-030-62397-5_26"</w:instrText>
      </w:r>
      <w:r>
        <w:fldChar w:fldCharType="separate"/>
      </w:r>
      <w:r w:rsidRPr="0076580C">
        <w:rPr>
          <w:rStyle w:val="Hyperlink"/>
          <w:rFonts w:ascii="Times New Roman" w:hAnsi="Times New Roman" w:cs="Times New Roman"/>
          <w:lang w:val="el"/>
        </w:rPr>
        <w:t>https://doi.org/10.1007/978-3-030-62397-5_26</w:t>
      </w:r>
      <w:r>
        <w:fldChar w:fldCharType="end"/>
      </w:r>
      <w:r w:rsidRPr="0076580C">
        <w:rPr>
          <w:rFonts w:ascii="Times New Roman" w:hAnsi="Times New Roman" w:cs="Times New Roman"/>
          <w:color w:val="000000" w:themeColor="text1"/>
          <w:lang w:val="el"/>
        </w:rPr>
        <w:t>.</w:t>
      </w:r>
    </w:p>
    <w:p w14:paraId="66A2EBC2" w14:textId="6CFCFA24" w:rsidR="0039340A" w:rsidRPr="0076580C" w:rsidRDefault="009F6001" w:rsidP="0039340A">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Scholz, R.W. (2020). </w:t>
      </w:r>
      <w:proofErr w:type="spellStart"/>
      <w:r w:rsidRPr="00F94540">
        <w:rPr>
          <w:rFonts w:ascii="Times New Roman" w:hAnsi="Times New Roman" w:cs="Times New Roman"/>
          <w:color w:val="000000" w:themeColor="text1"/>
          <w:lang w:val="en-GB"/>
        </w:rPr>
        <w:t>Transdisciplinarity</w:t>
      </w:r>
      <w:proofErr w:type="spellEnd"/>
      <w:r w:rsidRPr="00F94540">
        <w:rPr>
          <w:rFonts w:ascii="Times New Roman" w:hAnsi="Times New Roman" w:cs="Times New Roman"/>
          <w:color w:val="000000" w:themeColor="text1"/>
          <w:lang w:val="en-GB"/>
        </w:rPr>
        <w:t xml:space="preserve">: science for and with society in light of the university’s roles and functions. </w:t>
      </w:r>
      <w:r w:rsidRPr="0076580C">
        <w:rPr>
          <w:rFonts w:ascii="Times New Roman" w:hAnsi="Times New Roman" w:cs="Times New Roman"/>
          <w:color w:val="000000" w:themeColor="text1"/>
          <w:lang w:val="el"/>
        </w:rPr>
        <w:t xml:space="preserve">Sustain Sci 15, 1033–1049.DOI: </w:t>
      </w:r>
      <w:r>
        <w:fldChar w:fldCharType="begin"/>
      </w:r>
      <w:r>
        <w:instrText>HYPERLINK "https://doi.org/10.1007/s11625-020-00794-x"</w:instrText>
      </w:r>
      <w:r>
        <w:fldChar w:fldCharType="separate"/>
      </w:r>
      <w:r w:rsidRPr="0076580C">
        <w:rPr>
          <w:rStyle w:val="Hyperlink"/>
          <w:rFonts w:ascii="Times New Roman" w:hAnsi="Times New Roman" w:cs="Times New Roman"/>
          <w:lang w:val="el"/>
        </w:rPr>
        <w:t>https://doi.org/10.1007/s11625-020-00794-x</w:t>
      </w:r>
      <w:r>
        <w:fldChar w:fldCharType="end"/>
      </w:r>
      <w:r w:rsidRPr="0076580C">
        <w:rPr>
          <w:rFonts w:ascii="Times New Roman" w:hAnsi="Times New Roman" w:cs="Times New Roman"/>
          <w:color w:val="000000" w:themeColor="text1"/>
          <w:lang w:val="el"/>
        </w:rPr>
        <w:t>.</w:t>
      </w:r>
    </w:p>
    <w:p w14:paraId="7A8BC84A" w14:textId="401531A9" w:rsidR="0039340A" w:rsidRPr="0076580C" w:rsidRDefault="0039340A" w:rsidP="0039340A">
      <w:pPr>
        <w:pStyle w:val="ListParagraph"/>
        <w:numPr>
          <w:ilvl w:val="0"/>
          <w:numId w:val="1"/>
        </w:numPr>
        <w:ind w:left="426" w:hanging="426"/>
        <w:jc w:val="both"/>
        <w:rPr>
          <w:rFonts w:ascii="Times New Roman" w:hAnsi="Times New Roman" w:cs="Times New Roman"/>
          <w:color w:val="000000" w:themeColor="text1"/>
          <w:lang w:val="pt-BR"/>
        </w:rPr>
      </w:pPr>
      <w:r w:rsidRPr="00F94540">
        <w:rPr>
          <w:rFonts w:ascii="Times New Roman" w:hAnsi="Times New Roman" w:cs="Times New Roman"/>
          <w:color w:val="000000" w:themeColor="text1"/>
          <w:lang w:val="en-GB"/>
        </w:rPr>
        <w:t xml:space="preserve">Solomon, G.E., Carley, S., Porter, A.L. (2016) How Multidisciplinary Are the Multidisciplinary Journals Science and Nature? </w:t>
      </w:r>
      <w:r w:rsidRPr="0076580C">
        <w:rPr>
          <w:rFonts w:ascii="Times New Roman" w:hAnsi="Times New Roman" w:cs="Times New Roman"/>
          <w:color w:val="000000" w:themeColor="text1"/>
          <w:lang w:val="pt-BR"/>
        </w:rPr>
        <w:t xml:space="preserve">PLoS One. Apr 4;11(4):e0152637. DOI: </w:t>
      </w:r>
      <w:r>
        <w:fldChar w:fldCharType="begin"/>
      </w:r>
      <w:r w:rsidRPr="00F94540">
        <w:rPr>
          <w:lang w:val="pt-BR"/>
        </w:rPr>
        <w:instrText>HYPERLINK "https://doi.org/10.1371/journal.pone.0152637"</w:instrText>
      </w:r>
      <w:r>
        <w:fldChar w:fldCharType="separate"/>
      </w:r>
      <w:r w:rsidRPr="0076580C">
        <w:rPr>
          <w:rStyle w:val="Hyperlink"/>
          <w:rFonts w:ascii="Times New Roman" w:hAnsi="Times New Roman" w:cs="Times New Roman"/>
          <w:lang w:val="pt-BR"/>
        </w:rPr>
        <w:t>https://doi.org/10.1371/journal.pone.0152637</w:t>
      </w:r>
      <w:r>
        <w:fldChar w:fldCharType="end"/>
      </w:r>
      <w:r w:rsidRPr="0076580C">
        <w:rPr>
          <w:rFonts w:ascii="Times New Roman" w:hAnsi="Times New Roman" w:cs="Times New Roman"/>
          <w:color w:val="000000" w:themeColor="text1"/>
          <w:lang w:val="pt-BR"/>
        </w:rPr>
        <w:t>.</w:t>
      </w:r>
    </w:p>
    <w:p w14:paraId="3F05DC8B" w14:textId="0E1FED4A" w:rsidR="00A80812" w:rsidRPr="0076580C" w:rsidRDefault="00A80812" w:rsidP="3C5DB29E">
      <w:pPr>
        <w:pStyle w:val="ListParagraph"/>
        <w:numPr>
          <w:ilvl w:val="0"/>
          <w:numId w:val="1"/>
        </w:numPr>
        <w:ind w:left="426" w:hanging="426"/>
        <w:jc w:val="both"/>
        <w:rPr>
          <w:rFonts w:ascii="Times New Roman" w:hAnsi="Times New Roman" w:cs="Times New Roman"/>
          <w:color w:val="000000" w:themeColor="text1"/>
        </w:rPr>
      </w:pPr>
      <w:r w:rsidRPr="00F94540">
        <w:rPr>
          <w:rFonts w:ascii="Times New Roman" w:hAnsi="Times New Roman" w:cs="Times New Roman"/>
          <w:color w:val="545454"/>
          <w:shd w:val="clear" w:color="auto" w:fill="FFFFFF"/>
          <w:lang w:val="en-GB"/>
        </w:rPr>
        <w:t xml:space="preserve">FAO. </w:t>
      </w:r>
      <w:r w:rsidR="00AC40AC" w:rsidRPr="00F94540">
        <w:rPr>
          <w:rFonts w:ascii="Times New Roman" w:hAnsi="Times New Roman" w:cs="Times New Roman"/>
          <w:color w:val="545454"/>
          <w:shd w:val="clear" w:color="auto" w:fill="FFFFFF"/>
          <w:lang w:val="en-GB"/>
        </w:rPr>
        <w:t>(</w:t>
      </w:r>
      <w:r w:rsidRPr="00F94540">
        <w:rPr>
          <w:rFonts w:ascii="Times New Roman" w:hAnsi="Times New Roman" w:cs="Times New Roman"/>
          <w:color w:val="545454"/>
          <w:shd w:val="clear" w:color="auto" w:fill="FFFFFF"/>
          <w:lang w:val="en-GB"/>
        </w:rPr>
        <w:t>2021</w:t>
      </w:r>
      <w:r w:rsidR="00AC40AC" w:rsidRPr="00F94540">
        <w:rPr>
          <w:rFonts w:ascii="Times New Roman" w:hAnsi="Times New Roman" w:cs="Times New Roman"/>
          <w:color w:val="545454"/>
          <w:shd w:val="clear" w:color="auto" w:fill="FFFFFF"/>
          <w:lang w:val="en-GB"/>
        </w:rPr>
        <w:t>)</w:t>
      </w:r>
      <w:r w:rsidRPr="00F94540">
        <w:rPr>
          <w:rFonts w:ascii="Times New Roman" w:hAnsi="Times New Roman" w:cs="Times New Roman"/>
          <w:color w:val="545454"/>
          <w:shd w:val="clear" w:color="auto" w:fill="FFFFFF"/>
          <w:lang w:val="en-GB"/>
        </w:rPr>
        <w:t>. </w:t>
      </w:r>
      <w:r w:rsidRPr="00F94540">
        <w:rPr>
          <w:rStyle w:val="Emphasis"/>
          <w:rFonts w:ascii="Times New Roman" w:hAnsi="Times New Roman" w:cs="Times New Roman"/>
          <w:i w:val="0"/>
          <w:iCs w:val="0"/>
          <w:color w:val="545454"/>
          <w:shd w:val="clear" w:color="auto" w:fill="FFFFFF"/>
          <w:lang w:val="en-GB"/>
        </w:rPr>
        <w:t>The State of Food and Agriculture 2021. Making agrifood systems more resilient to shocks and stresses</w:t>
      </w:r>
      <w:r w:rsidRPr="00F94540">
        <w:rPr>
          <w:rFonts w:ascii="Times New Roman" w:hAnsi="Times New Roman" w:cs="Times New Roman"/>
          <w:color w:val="545454"/>
          <w:shd w:val="clear" w:color="auto" w:fill="FFFFFF"/>
          <w:lang w:val="en-GB"/>
        </w:rPr>
        <w:t xml:space="preserve">. </w:t>
      </w:r>
      <w:r w:rsidRPr="0076580C">
        <w:rPr>
          <w:rFonts w:ascii="Times New Roman" w:hAnsi="Times New Roman" w:cs="Times New Roman"/>
          <w:color w:val="545454"/>
          <w:shd w:val="clear" w:color="auto" w:fill="FFFFFF"/>
        </w:rPr>
        <w:t>Rome, FAO.</w:t>
      </w:r>
      <w:r w:rsidRPr="0076580C">
        <w:rPr>
          <w:rFonts w:ascii="Times New Roman" w:hAnsi="Times New Roman" w:cs="Times New Roman"/>
        </w:rPr>
        <w:t xml:space="preserve"> </w:t>
      </w:r>
      <w:r w:rsidR="00AC40AC" w:rsidRPr="0076580C">
        <w:rPr>
          <w:rFonts w:ascii="Times New Roman" w:hAnsi="Times New Roman" w:cs="Times New Roman"/>
        </w:rPr>
        <w:t xml:space="preserve">DOI: </w:t>
      </w:r>
      <w:hyperlink r:id="rId36" w:history="1">
        <w:r w:rsidR="00AC40AC" w:rsidRPr="0076580C">
          <w:rPr>
            <w:rStyle w:val="Hyperlink"/>
            <w:rFonts w:ascii="Times New Roman" w:hAnsi="Times New Roman" w:cs="Times New Roman"/>
          </w:rPr>
          <w:t>https://doi.org/10.4060/cb4476en</w:t>
        </w:r>
      </w:hyperlink>
      <w:r w:rsidRPr="0076580C">
        <w:rPr>
          <w:rFonts w:ascii="Times New Roman" w:hAnsi="Times New Roman" w:cs="Times New Roman"/>
          <w:color w:val="545454"/>
          <w:shd w:val="clear" w:color="auto" w:fill="FFFFFF"/>
        </w:rPr>
        <w:t>.</w:t>
      </w:r>
    </w:p>
    <w:p w14:paraId="26DF7967" w14:textId="6B043898" w:rsidR="00A80812" w:rsidRPr="0076580C" w:rsidRDefault="00AC40AC" w:rsidP="0039340A">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United Nations. 2020. Global Biodiversity Outlook 5. Montreal: Secretariat of the Convention on Biological Diversity. </w:t>
      </w:r>
      <w:r w:rsidRPr="0076580C">
        <w:rPr>
          <w:rFonts w:ascii="Times New Roman" w:hAnsi="Times New Roman" w:cs="Times New Roman"/>
          <w:color w:val="000000" w:themeColor="text1"/>
          <w:lang w:val="el"/>
        </w:rPr>
        <w:t xml:space="preserve">Available at </w:t>
      </w:r>
      <w:r w:rsidR="006A5BAB">
        <w:fldChar w:fldCharType="begin"/>
      </w:r>
      <w:r w:rsidR="006A5BAB">
        <w:instrText>HYPERLINK "https://www.cbd.int/gbo5"</w:instrText>
      </w:r>
      <w:r w:rsidR="006A5BAB">
        <w:fldChar w:fldCharType="separate"/>
      </w:r>
      <w:r w:rsidR="006A5BAB" w:rsidRPr="0076580C">
        <w:rPr>
          <w:rStyle w:val="Hyperlink"/>
          <w:rFonts w:ascii="Times New Roman" w:hAnsi="Times New Roman" w:cs="Times New Roman"/>
          <w:lang w:val="el"/>
        </w:rPr>
        <w:t>https://www.cbd.int/gbo5</w:t>
      </w:r>
      <w:r w:rsidR="006A5BAB">
        <w:fldChar w:fldCharType="end"/>
      </w:r>
      <w:r w:rsidRPr="0076580C">
        <w:rPr>
          <w:rFonts w:ascii="Times New Roman" w:hAnsi="Times New Roman" w:cs="Times New Roman"/>
          <w:color w:val="000000" w:themeColor="text1"/>
          <w:lang w:val="el"/>
        </w:rPr>
        <w:t>.</w:t>
      </w:r>
    </w:p>
    <w:p w14:paraId="1CE6EA02" w14:textId="77777777" w:rsidR="00C6663B" w:rsidRPr="0076580C" w:rsidRDefault="006A5BAB" w:rsidP="00C6663B">
      <w:pPr>
        <w:pStyle w:val="ListParagraph"/>
        <w:numPr>
          <w:ilvl w:val="0"/>
          <w:numId w:val="1"/>
        </w:numPr>
        <w:ind w:left="426" w:hanging="426"/>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Lal, R. (2004). Soil Carbon Sequestration Impacts on Global Climate Change and Food Security. </w:t>
      </w:r>
      <w:r w:rsidRPr="0076580C">
        <w:rPr>
          <w:rFonts w:ascii="Times New Roman" w:hAnsi="Times New Roman" w:cs="Times New Roman"/>
          <w:color w:val="000000" w:themeColor="text1"/>
          <w:lang w:val="el"/>
        </w:rPr>
        <w:t xml:space="preserve">Science, 304(5677), 1623–1627. DOI: </w:t>
      </w:r>
      <w:r>
        <w:fldChar w:fldCharType="begin"/>
      </w:r>
      <w:r>
        <w:instrText>HYPERLINK "https://doi.org/10.1126/science.1097396"</w:instrText>
      </w:r>
      <w:r>
        <w:fldChar w:fldCharType="separate"/>
      </w:r>
      <w:r w:rsidRPr="0076580C">
        <w:rPr>
          <w:rStyle w:val="Hyperlink"/>
          <w:rFonts w:ascii="Times New Roman" w:hAnsi="Times New Roman" w:cs="Times New Roman"/>
          <w:lang w:val="el"/>
        </w:rPr>
        <w:t>https://doi.org/10.1126/science.1097396</w:t>
      </w:r>
      <w:r>
        <w:fldChar w:fldCharType="end"/>
      </w:r>
      <w:r w:rsidRPr="0076580C">
        <w:rPr>
          <w:rFonts w:ascii="Times New Roman" w:hAnsi="Times New Roman" w:cs="Times New Roman"/>
          <w:color w:val="000000" w:themeColor="text1"/>
          <w:lang w:val="el"/>
        </w:rPr>
        <w:t>.</w:t>
      </w:r>
    </w:p>
    <w:p w14:paraId="36707C5B" w14:textId="79DEF3C4" w:rsidR="00E410A6" w:rsidRPr="0076580C" w:rsidRDefault="00E410A6" w:rsidP="3C5DB29E">
      <w:pPr>
        <w:pStyle w:val="ListParagraph"/>
        <w:numPr>
          <w:ilvl w:val="0"/>
          <w:numId w:val="1"/>
        </w:numPr>
        <w:ind w:left="426" w:hanging="426"/>
        <w:jc w:val="both"/>
        <w:rPr>
          <w:rFonts w:ascii="Times New Roman" w:hAnsi="Times New Roman" w:cs="Times New Roman"/>
          <w:color w:val="000000" w:themeColor="text1"/>
        </w:rPr>
      </w:pPr>
      <w:r w:rsidRPr="00F94540">
        <w:rPr>
          <w:rFonts w:ascii="Times New Roman" w:hAnsi="Times New Roman" w:cs="Times New Roman"/>
          <w:color w:val="333333"/>
          <w:shd w:val="clear" w:color="auto" w:fill="EAEAEA"/>
          <w:lang w:val="en-GB"/>
        </w:rPr>
        <w:t xml:space="preserve">Lal, R. (2020). Regenerative agriculture for food and climate. Journal of Soil and Water Conservation, 75(5), 123A-124A. </w:t>
      </w:r>
      <w:r w:rsidRPr="0076580C">
        <w:rPr>
          <w:rFonts w:ascii="Times New Roman" w:hAnsi="Times New Roman" w:cs="Times New Roman"/>
          <w:color w:val="333333"/>
          <w:shd w:val="clear" w:color="auto" w:fill="EAEAEA"/>
        </w:rPr>
        <w:t xml:space="preserve">DOI: </w:t>
      </w:r>
      <w:hyperlink r:id="rId37" w:history="1">
        <w:r w:rsidRPr="0076580C">
          <w:rPr>
            <w:rStyle w:val="Hyperlink"/>
            <w:rFonts w:ascii="Times New Roman" w:hAnsi="Times New Roman" w:cs="Times New Roman"/>
          </w:rPr>
          <w:t>https://doi.org/10.2489/jswc.2020.0620A</w:t>
        </w:r>
      </w:hyperlink>
      <w:r w:rsidRPr="0076580C">
        <w:rPr>
          <w:rFonts w:ascii="Times New Roman" w:hAnsi="Times New Roman" w:cs="Times New Roman"/>
          <w:color w:val="333333"/>
          <w:shd w:val="clear" w:color="auto" w:fill="EAEAEA"/>
        </w:rPr>
        <w:t>.</w:t>
      </w:r>
    </w:p>
    <w:p w14:paraId="51C3DF7E" w14:textId="2EC28634" w:rsidR="00D3385E" w:rsidRPr="0076580C" w:rsidRDefault="00D3385E" w:rsidP="00D3385E">
      <w:pPr>
        <w:pStyle w:val="ListParagraph"/>
        <w:numPr>
          <w:ilvl w:val="0"/>
          <w:numId w:val="1"/>
        </w:numPr>
        <w:jc w:val="both"/>
        <w:rPr>
          <w:rFonts w:ascii="Times New Roman" w:hAnsi="Times New Roman" w:cs="Times New Roman"/>
          <w:color w:val="000000" w:themeColor="text1"/>
          <w:lang w:val="en-GB"/>
        </w:rPr>
      </w:pPr>
      <w:r w:rsidRPr="0076580C">
        <w:rPr>
          <w:rFonts w:ascii="Times New Roman" w:hAnsi="Times New Roman" w:cs="Times New Roman"/>
          <w:color w:val="000000" w:themeColor="text1"/>
        </w:rPr>
        <w:t xml:space="preserve">Chadwick, D., </w:t>
      </w:r>
      <w:proofErr w:type="spellStart"/>
      <w:r w:rsidRPr="0076580C">
        <w:rPr>
          <w:rFonts w:ascii="Times New Roman" w:hAnsi="Times New Roman" w:cs="Times New Roman"/>
          <w:color w:val="000000" w:themeColor="text1"/>
        </w:rPr>
        <w:t>Sommer</w:t>
      </w:r>
      <w:proofErr w:type="spellEnd"/>
      <w:r w:rsidRPr="0076580C">
        <w:rPr>
          <w:rFonts w:ascii="Times New Roman" w:hAnsi="Times New Roman" w:cs="Times New Roman"/>
          <w:color w:val="000000" w:themeColor="text1"/>
        </w:rPr>
        <w:t xml:space="preserve">, S., </w:t>
      </w:r>
      <w:proofErr w:type="spellStart"/>
      <w:r w:rsidRPr="0076580C">
        <w:rPr>
          <w:rFonts w:ascii="Times New Roman" w:hAnsi="Times New Roman" w:cs="Times New Roman"/>
          <w:color w:val="000000" w:themeColor="text1"/>
        </w:rPr>
        <w:t>Thorman</w:t>
      </w:r>
      <w:proofErr w:type="spellEnd"/>
      <w:r w:rsidRPr="0076580C">
        <w:rPr>
          <w:rFonts w:ascii="Times New Roman" w:hAnsi="Times New Roman" w:cs="Times New Roman"/>
          <w:color w:val="000000" w:themeColor="text1"/>
        </w:rPr>
        <w:t xml:space="preserve">, R., </w:t>
      </w:r>
      <w:proofErr w:type="spellStart"/>
      <w:r w:rsidRPr="0076580C">
        <w:rPr>
          <w:rFonts w:ascii="Times New Roman" w:hAnsi="Times New Roman" w:cs="Times New Roman"/>
          <w:color w:val="000000" w:themeColor="text1"/>
        </w:rPr>
        <w:t>Fangueiro</w:t>
      </w:r>
      <w:proofErr w:type="spellEnd"/>
      <w:r w:rsidRPr="0076580C">
        <w:rPr>
          <w:rFonts w:ascii="Times New Roman" w:hAnsi="Times New Roman" w:cs="Times New Roman"/>
          <w:color w:val="000000" w:themeColor="text1"/>
        </w:rPr>
        <w:t xml:space="preserve">, D., </w:t>
      </w:r>
      <w:proofErr w:type="spellStart"/>
      <w:r w:rsidRPr="0076580C">
        <w:rPr>
          <w:rFonts w:ascii="Times New Roman" w:hAnsi="Times New Roman" w:cs="Times New Roman"/>
          <w:color w:val="000000" w:themeColor="text1"/>
        </w:rPr>
        <w:t>Cardenas</w:t>
      </w:r>
      <w:proofErr w:type="spellEnd"/>
      <w:r w:rsidRPr="0076580C">
        <w:rPr>
          <w:rFonts w:ascii="Times New Roman" w:hAnsi="Times New Roman" w:cs="Times New Roman"/>
          <w:color w:val="000000" w:themeColor="text1"/>
        </w:rPr>
        <w:t xml:space="preserve">, L., </w:t>
      </w:r>
      <w:proofErr w:type="spellStart"/>
      <w:r w:rsidRPr="0076580C">
        <w:rPr>
          <w:rFonts w:ascii="Times New Roman" w:hAnsi="Times New Roman" w:cs="Times New Roman"/>
          <w:color w:val="000000" w:themeColor="text1"/>
        </w:rPr>
        <w:t>Amon</w:t>
      </w:r>
      <w:proofErr w:type="spellEnd"/>
      <w:r w:rsidRPr="0076580C">
        <w:rPr>
          <w:rFonts w:ascii="Times New Roman" w:hAnsi="Times New Roman" w:cs="Times New Roman"/>
          <w:color w:val="000000" w:themeColor="text1"/>
        </w:rPr>
        <w:t xml:space="preserve">, B., </w:t>
      </w:r>
      <w:proofErr w:type="spellStart"/>
      <w:r w:rsidRPr="0076580C">
        <w:rPr>
          <w:rFonts w:ascii="Times New Roman" w:hAnsi="Times New Roman" w:cs="Times New Roman"/>
          <w:color w:val="000000" w:themeColor="text1"/>
        </w:rPr>
        <w:t>Misselbrook</w:t>
      </w:r>
      <w:proofErr w:type="spellEnd"/>
      <w:r w:rsidRPr="0076580C">
        <w:rPr>
          <w:rFonts w:ascii="Times New Roman" w:hAnsi="Times New Roman" w:cs="Times New Roman"/>
          <w:color w:val="000000" w:themeColor="text1"/>
        </w:rPr>
        <w:t xml:space="preserve">, T. (2011). </w:t>
      </w:r>
      <w:proofErr w:type="spellStart"/>
      <w:r w:rsidRPr="0076580C">
        <w:rPr>
          <w:rFonts w:ascii="Times New Roman" w:hAnsi="Times New Roman" w:cs="Times New Roman"/>
          <w:color w:val="000000" w:themeColor="text1"/>
        </w:rPr>
        <w:t>Manure</w:t>
      </w:r>
      <w:proofErr w:type="spellEnd"/>
      <w:r w:rsidRPr="0076580C">
        <w:rPr>
          <w:rFonts w:ascii="Times New Roman" w:hAnsi="Times New Roman" w:cs="Times New Roman"/>
          <w:color w:val="000000" w:themeColor="text1"/>
        </w:rPr>
        <w:t xml:space="preserve"> </w:t>
      </w:r>
      <w:proofErr w:type="spellStart"/>
      <w:r w:rsidRPr="0076580C">
        <w:rPr>
          <w:rFonts w:ascii="Times New Roman" w:hAnsi="Times New Roman" w:cs="Times New Roman"/>
          <w:color w:val="000000" w:themeColor="text1"/>
        </w:rPr>
        <w:t>management</w:t>
      </w:r>
      <w:proofErr w:type="spellEnd"/>
      <w:r w:rsidRPr="0076580C">
        <w:rPr>
          <w:rFonts w:ascii="Times New Roman" w:hAnsi="Times New Roman" w:cs="Times New Roman"/>
          <w:color w:val="000000" w:themeColor="text1"/>
        </w:rPr>
        <w:t xml:space="preserve">: </w:t>
      </w:r>
      <w:proofErr w:type="spellStart"/>
      <w:r w:rsidRPr="0076580C">
        <w:rPr>
          <w:rFonts w:ascii="Times New Roman" w:hAnsi="Times New Roman" w:cs="Times New Roman"/>
          <w:color w:val="000000" w:themeColor="text1"/>
        </w:rPr>
        <w:t>Implications</w:t>
      </w:r>
      <w:proofErr w:type="spellEnd"/>
      <w:r w:rsidRPr="0076580C">
        <w:rPr>
          <w:rFonts w:ascii="Times New Roman" w:hAnsi="Times New Roman" w:cs="Times New Roman"/>
          <w:color w:val="000000" w:themeColor="text1"/>
        </w:rPr>
        <w:t xml:space="preserve"> </w:t>
      </w:r>
      <w:proofErr w:type="spellStart"/>
      <w:r w:rsidRPr="0076580C">
        <w:rPr>
          <w:rFonts w:ascii="Times New Roman" w:hAnsi="Times New Roman" w:cs="Times New Roman"/>
          <w:color w:val="000000" w:themeColor="text1"/>
        </w:rPr>
        <w:t>for</w:t>
      </w:r>
      <w:proofErr w:type="spellEnd"/>
      <w:r w:rsidRPr="0076580C">
        <w:rPr>
          <w:rFonts w:ascii="Times New Roman" w:hAnsi="Times New Roman" w:cs="Times New Roman"/>
          <w:color w:val="000000" w:themeColor="text1"/>
        </w:rPr>
        <w:t xml:space="preserve"> </w:t>
      </w:r>
      <w:proofErr w:type="spellStart"/>
      <w:r w:rsidRPr="0076580C">
        <w:rPr>
          <w:rFonts w:ascii="Times New Roman" w:hAnsi="Times New Roman" w:cs="Times New Roman"/>
          <w:color w:val="000000" w:themeColor="text1"/>
        </w:rPr>
        <w:t>greenhouse</w:t>
      </w:r>
      <w:proofErr w:type="spellEnd"/>
      <w:r w:rsidRPr="0076580C">
        <w:rPr>
          <w:rFonts w:ascii="Times New Roman" w:hAnsi="Times New Roman" w:cs="Times New Roman"/>
          <w:color w:val="000000" w:themeColor="text1"/>
        </w:rPr>
        <w:t xml:space="preserve"> gas </w:t>
      </w:r>
      <w:proofErr w:type="spellStart"/>
      <w:r w:rsidRPr="0076580C">
        <w:rPr>
          <w:rFonts w:ascii="Times New Roman" w:hAnsi="Times New Roman" w:cs="Times New Roman"/>
          <w:color w:val="000000" w:themeColor="text1"/>
        </w:rPr>
        <w:t>emissions</w:t>
      </w:r>
      <w:proofErr w:type="spellEnd"/>
      <w:r w:rsidRPr="0076580C">
        <w:rPr>
          <w:rFonts w:ascii="Times New Roman" w:hAnsi="Times New Roman" w:cs="Times New Roman"/>
          <w:color w:val="000000" w:themeColor="text1"/>
        </w:rPr>
        <w:t xml:space="preserve">. </w:t>
      </w:r>
      <w:r w:rsidRPr="00F94540">
        <w:rPr>
          <w:rFonts w:ascii="Times New Roman" w:hAnsi="Times New Roman" w:cs="Times New Roman"/>
          <w:color w:val="000000" w:themeColor="text1"/>
          <w:lang w:val="en-GB"/>
        </w:rPr>
        <w:t xml:space="preserve">Animal Feed Science and Technology, vol. 166–167, pp. 514-531. DOI: </w:t>
      </w:r>
      <w:hyperlink r:id="rId38" w:history="1">
        <w:r w:rsidR="00F566FE" w:rsidRPr="00F94540">
          <w:rPr>
            <w:rStyle w:val="Hyperlink"/>
            <w:rFonts w:ascii="Times New Roman" w:hAnsi="Times New Roman" w:cs="Times New Roman"/>
            <w:lang w:val="en-GB"/>
          </w:rPr>
          <w:t>https://doi.org/10.1016/j.anifeedsci.2011.04.036</w:t>
        </w:r>
      </w:hyperlink>
      <w:r w:rsidRPr="00F94540">
        <w:rPr>
          <w:rFonts w:ascii="Times New Roman" w:hAnsi="Times New Roman" w:cs="Times New Roman"/>
          <w:color w:val="000000" w:themeColor="text1"/>
          <w:lang w:val="en-GB"/>
        </w:rPr>
        <w:t>.</w:t>
      </w:r>
    </w:p>
    <w:p w14:paraId="1B6567A1" w14:textId="22A73BBB" w:rsidR="007331F3" w:rsidRPr="0076580C" w:rsidRDefault="00F566FE" w:rsidP="00D3385E">
      <w:pPr>
        <w:pStyle w:val="ListParagraph"/>
        <w:numPr>
          <w:ilvl w:val="0"/>
          <w:numId w:val="1"/>
        </w:numPr>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 xml:space="preserve">Millennium Ecosystem Assessment (MEA). (2005). Ecosystems and Human Well-being: Synthesis. Washington, DC: Island Press, </w:t>
      </w:r>
      <w:r w:rsidR="0000609E" w:rsidRPr="00F94540">
        <w:rPr>
          <w:rFonts w:ascii="Times New Roman" w:hAnsi="Times New Roman" w:cs="Times New Roman"/>
          <w:color w:val="000000" w:themeColor="text1"/>
          <w:lang w:val="en-GB"/>
        </w:rPr>
        <w:t>Available</w:t>
      </w:r>
      <w:r w:rsidRPr="00F94540">
        <w:rPr>
          <w:rFonts w:ascii="Times New Roman" w:hAnsi="Times New Roman" w:cs="Times New Roman"/>
          <w:color w:val="000000" w:themeColor="text1"/>
          <w:lang w:val="en-GB"/>
        </w:rPr>
        <w:t xml:space="preserve"> at </w:t>
      </w:r>
      <w:hyperlink r:id="rId39" w:history="1">
        <w:r w:rsidR="007331F3" w:rsidRPr="00F94540">
          <w:rPr>
            <w:rStyle w:val="Hyperlink"/>
            <w:rFonts w:ascii="Times New Roman" w:hAnsi="Times New Roman" w:cs="Times New Roman"/>
            <w:lang w:val="en-GB"/>
          </w:rPr>
          <w:t>https://www.millenniumassessment.org</w:t>
        </w:r>
      </w:hyperlink>
      <w:r w:rsidR="007331F3" w:rsidRPr="00F94540">
        <w:rPr>
          <w:rFonts w:ascii="Times New Roman" w:hAnsi="Times New Roman" w:cs="Times New Roman"/>
          <w:color w:val="000000" w:themeColor="text1"/>
          <w:lang w:val="en-GB"/>
        </w:rPr>
        <w:t>.</w:t>
      </w:r>
    </w:p>
    <w:p w14:paraId="19F2D3AF" w14:textId="793A95C5" w:rsidR="00F566FE" w:rsidRPr="0076580C" w:rsidRDefault="007331F3" w:rsidP="007331F3">
      <w:pPr>
        <w:pStyle w:val="ListParagraph"/>
        <w:numPr>
          <w:ilvl w:val="0"/>
          <w:numId w:val="1"/>
        </w:numPr>
        <w:jc w:val="both"/>
        <w:rPr>
          <w:rFonts w:ascii="Times New Roman" w:hAnsi="Times New Roman" w:cs="Times New Roman"/>
          <w:color w:val="000000" w:themeColor="text1"/>
          <w:lang w:val="en-GB"/>
        </w:rPr>
      </w:pPr>
      <w:r w:rsidRPr="0076580C">
        <w:rPr>
          <w:rFonts w:ascii="Times New Roman" w:hAnsi="Times New Roman" w:cs="Times New Roman"/>
          <w:color w:val="000000" w:themeColor="text1"/>
          <w:lang w:val="da-DK"/>
        </w:rPr>
        <w:t xml:space="preserve">Jonathan A. Foley et al. </w:t>
      </w:r>
      <w:r w:rsidRPr="00F94540">
        <w:rPr>
          <w:rFonts w:ascii="Times New Roman" w:hAnsi="Times New Roman" w:cs="Times New Roman"/>
          <w:color w:val="000000" w:themeColor="text1"/>
          <w:lang w:val="en-GB"/>
        </w:rPr>
        <w:t xml:space="preserve">(2005). Global Consequences of Land Use. </w:t>
      </w:r>
      <w:r w:rsidRPr="0076580C">
        <w:rPr>
          <w:rFonts w:ascii="Times New Roman" w:hAnsi="Times New Roman" w:cs="Times New Roman"/>
          <w:color w:val="000000" w:themeColor="text1"/>
          <w:lang w:val="el"/>
        </w:rPr>
        <w:t>Science vol. 309, pp. 570-574.DOI:10.1126/science.1111772.</w:t>
      </w:r>
    </w:p>
    <w:p w14:paraId="5403D6E7" w14:textId="6FE0F4E4" w:rsidR="00305AA9" w:rsidRPr="0076580C" w:rsidRDefault="00305AA9" w:rsidP="007331F3">
      <w:pPr>
        <w:pStyle w:val="ListParagraph"/>
        <w:numPr>
          <w:ilvl w:val="0"/>
          <w:numId w:val="1"/>
        </w:numPr>
        <w:jc w:val="both"/>
        <w:rPr>
          <w:rFonts w:ascii="Times New Roman" w:hAnsi="Times New Roman" w:cs="Times New Roman"/>
          <w:color w:val="000000" w:themeColor="text1"/>
          <w:lang w:val="en-GB"/>
        </w:rPr>
      </w:pPr>
      <w:r w:rsidRPr="0076580C">
        <w:rPr>
          <w:rFonts w:ascii="Times New Roman" w:hAnsi="Times New Roman" w:cs="Times New Roman"/>
          <w:color w:val="000000" w:themeColor="text1"/>
          <w:lang w:val="pl-PL"/>
        </w:rPr>
        <w:t xml:space="preserve">Brady, N. C., Weil, R. R. (2016). </w:t>
      </w:r>
      <w:r w:rsidRPr="00F94540">
        <w:rPr>
          <w:rFonts w:ascii="Times New Roman" w:hAnsi="Times New Roman" w:cs="Times New Roman"/>
          <w:color w:val="000000" w:themeColor="text1"/>
          <w:lang w:val="en-GB"/>
        </w:rPr>
        <w:t xml:space="preserve">The Nature and Properties of Soils (15th ed.). </w:t>
      </w:r>
      <w:r w:rsidRPr="0076580C">
        <w:rPr>
          <w:rFonts w:ascii="Times New Roman" w:hAnsi="Times New Roman" w:cs="Times New Roman"/>
          <w:color w:val="000000" w:themeColor="text1"/>
          <w:lang w:val="el"/>
        </w:rPr>
        <w:t>Pearson Education.</w:t>
      </w:r>
    </w:p>
    <w:p w14:paraId="11982A85" w14:textId="41848C4D" w:rsidR="0088346C" w:rsidRPr="000C1C0A" w:rsidRDefault="00824E8E" w:rsidP="3C5DB29E">
      <w:pPr>
        <w:pStyle w:val="ListParagraph"/>
        <w:numPr>
          <w:ilvl w:val="0"/>
          <w:numId w:val="1"/>
        </w:numPr>
        <w:jc w:val="both"/>
        <w:rPr>
          <w:rFonts w:ascii="Times New Roman" w:hAnsi="Times New Roman" w:cs="Times New Roman"/>
          <w:color w:val="000000" w:themeColor="text1"/>
          <w:lang w:val="en-GB"/>
        </w:rPr>
      </w:pPr>
      <w:r w:rsidRPr="00F94540">
        <w:rPr>
          <w:rFonts w:ascii="Times New Roman" w:hAnsi="Times New Roman" w:cs="Times New Roman"/>
          <w:color w:val="000000" w:themeColor="text1"/>
          <w:lang w:val="en-GB"/>
        </w:rPr>
        <w:t>EU Mission Soil Deal for Europe</w:t>
      </w:r>
      <w:r w:rsidR="000E14A7" w:rsidRPr="00F94540">
        <w:rPr>
          <w:rFonts w:ascii="Times New Roman" w:hAnsi="Times New Roman" w:cs="Times New Roman"/>
          <w:color w:val="000000" w:themeColor="text1"/>
          <w:lang w:val="en-GB"/>
        </w:rPr>
        <w:t xml:space="preserve">. 100 living labs and lighthouses to lead the transition towards </w:t>
      </w:r>
      <w:r w:rsidR="0000609E" w:rsidRPr="00F94540">
        <w:rPr>
          <w:rFonts w:ascii="Times New Roman" w:hAnsi="Times New Roman" w:cs="Times New Roman"/>
          <w:color w:val="000000" w:themeColor="text1"/>
          <w:lang w:val="en-GB"/>
        </w:rPr>
        <w:t>healthy soils</w:t>
      </w:r>
      <w:r w:rsidR="000E14A7" w:rsidRPr="00F94540">
        <w:rPr>
          <w:rFonts w:ascii="Times New Roman" w:hAnsi="Times New Roman" w:cs="Times New Roman"/>
          <w:color w:val="000000" w:themeColor="text1"/>
          <w:lang w:val="en-GB"/>
        </w:rPr>
        <w:t xml:space="preserve"> by 2023.</w:t>
      </w:r>
      <w:r w:rsidRPr="00F94540">
        <w:rPr>
          <w:rFonts w:ascii="Times New Roman" w:hAnsi="Times New Roman" w:cs="Times New Roman"/>
          <w:color w:val="000000" w:themeColor="text1"/>
          <w:lang w:val="en-GB"/>
        </w:rPr>
        <w:t xml:space="preserve"> Implementation plan</w:t>
      </w:r>
      <w:r w:rsidR="006E6A5C" w:rsidRPr="00F94540">
        <w:rPr>
          <w:rFonts w:ascii="Times New Roman" w:hAnsi="Times New Roman" w:cs="Times New Roman"/>
          <w:color w:val="000000" w:themeColor="text1"/>
          <w:lang w:val="en-GB"/>
        </w:rPr>
        <w:t xml:space="preserve">. Available at </w:t>
      </w:r>
      <w:hyperlink r:id="rId40">
        <w:r w:rsidR="006E6A5C" w:rsidRPr="00F94540">
          <w:rPr>
            <w:rStyle w:val="Hyperlink"/>
            <w:rFonts w:ascii="Times New Roman" w:hAnsi="Times New Roman" w:cs="Times New Roman"/>
            <w:lang w:val="en-GB"/>
          </w:rPr>
          <w:t>https://research-and-innovation.ec.europa.eu/knowledge-publications-tools-and-data/publications/all-publications/implementation-plans-eu-missions_en</w:t>
        </w:r>
      </w:hyperlink>
    </w:p>
    <w:sectPr w:rsidR="0088346C" w:rsidRPr="000C1C0A" w:rsidSect="00005425">
      <w:headerReference w:type="default" r:id="rId41"/>
      <w:footerReference w:type="default" r:id="rId4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47ED7" w14:textId="77777777" w:rsidR="00A507DD" w:rsidRDefault="00A507DD" w:rsidP="00D45FCE">
      <w:pPr>
        <w:spacing w:after="0" w:line="240" w:lineRule="auto"/>
      </w:pPr>
      <w:r>
        <w:separator/>
      </w:r>
    </w:p>
  </w:endnote>
  <w:endnote w:type="continuationSeparator" w:id="0">
    <w:p w14:paraId="40F9771C" w14:textId="77777777" w:rsidR="00A507DD" w:rsidRDefault="00A507DD" w:rsidP="00D45FCE">
      <w:pPr>
        <w:spacing w:after="0" w:line="240" w:lineRule="auto"/>
      </w:pPr>
      <w:r>
        <w:continuationSeparator/>
      </w:r>
    </w:p>
  </w:endnote>
  <w:endnote w:type="continuationNotice" w:id="1">
    <w:p w14:paraId="70C03B45" w14:textId="77777777" w:rsidR="00A507DD" w:rsidRDefault="00A507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BC64" w14:textId="77777777" w:rsidR="00E14DC8" w:rsidRPr="00D45FCE" w:rsidRDefault="00E14DC8" w:rsidP="00D45FCE">
    <w:pPr>
      <w:pStyle w:val="Footer"/>
    </w:pPr>
    <w:r w:rsidRPr="00D45FCE">
      <w:rPr>
        <w:noProof/>
        <w:lang w:val="pl-PL" w:eastAsia="pl-PL"/>
      </w:rPr>
      <w:drawing>
        <wp:anchor distT="0" distB="0" distL="114300" distR="114300" simplePos="0" relativeHeight="251658240" behindDoc="1" locked="0" layoutInCell="1" allowOverlap="1" wp14:anchorId="30695511" wp14:editId="53F14B9A">
          <wp:simplePos x="0" y="0"/>
          <wp:positionH relativeFrom="page">
            <wp:posOffset>-6350</wp:posOffset>
          </wp:positionH>
          <wp:positionV relativeFrom="paragraph">
            <wp:posOffset>-47567</wp:posOffset>
          </wp:positionV>
          <wp:extent cx="7626985" cy="650875"/>
          <wp:effectExtent l="0" t="0" r="0" b="0"/>
          <wp:wrapNone/>
          <wp:docPr id="1683028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28353" name=""/>
                  <pic:cNvPicPr/>
                </pic:nvPicPr>
                <pic:blipFill>
                  <a:blip r:embed="rId1">
                    <a:extLst>
                      <a:ext uri="{28A0092B-C50C-407E-A947-70E740481C1C}">
                        <a14:useLocalDpi xmlns:a14="http://schemas.microsoft.com/office/drawing/2010/main" val="0"/>
                      </a:ext>
                    </a:extLst>
                  </a:blip>
                  <a:stretch>
                    <a:fillRect/>
                  </a:stretch>
                </pic:blipFill>
                <pic:spPr>
                  <a:xfrm>
                    <a:off x="0" y="0"/>
                    <a:ext cx="7626985" cy="6508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928C8" w14:textId="77777777" w:rsidR="00A507DD" w:rsidRDefault="00A507DD" w:rsidP="00D45FCE">
      <w:pPr>
        <w:spacing w:after="0" w:line="240" w:lineRule="auto"/>
      </w:pPr>
      <w:r>
        <w:separator/>
      </w:r>
    </w:p>
  </w:footnote>
  <w:footnote w:type="continuationSeparator" w:id="0">
    <w:p w14:paraId="77653A04" w14:textId="77777777" w:rsidR="00A507DD" w:rsidRDefault="00A507DD" w:rsidP="00D45FCE">
      <w:pPr>
        <w:spacing w:after="0" w:line="240" w:lineRule="auto"/>
      </w:pPr>
      <w:r>
        <w:continuationSeparator/>
      </w:r>
    </w:p>
  </w:footnote>
  <w:footnote w:type="continuationNotice" w:id="1">
    <w:p w14:paraId="31F9D64C" w14:textId="77777777" w:rsidR="00A507DD" w:rsidRDefault="00A507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33A2" w14:textId="77777777" w:rsidR="00E14DC8" w:rsidRDefault="00E14DC8">
    <w:pPr>
      <w:pStyle w:val="Header"/>
    </w:pPr>
    <w:r>
      <w:rPr>
        <w:noProof/>
        <w:lang w:val="pl-PL" w:eastAsia="pl-PL"/>
      </w:rPr>
      <w:drawing>
        <wp:anchor distT="0" distB="0" distL="114300" distR="114300" simplePos="0" relativeHeight="251658241" behindDoc="0" locked="0" layoutInCell="1" allowOverlap="1" wp14:anchorId="63F9C53D" wp14:editId="00108F4E">
          <wp:simplePos x="0" y="0"/>
          <wp:positionH relativeFrom="column">
            <wp:posOffset>3580938</wp:posOffset>
          </wp:positionH>
          <wp:positionV relativeFrom="paragraph">
            <wp:posOffset>-88496</wp:posOffset>
          </wp:positionV>
          <wp:extent cx="2575560" cy="350520"/>
          <wp:effectExtent l="0" t="0" r="0" b="0"/>
          <wp:wrapNone/>
          <wp:docPr id="1069797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5560" cy="350520"/>
                  </a:xfrm>
                  <a:prstGeom prst="rect">
                    <a:avLst/>
                  </a:prstGeom>
                  <a:noFill/>
                </pic:spPr>
              </pic:pic>
            </a:graphicData>
          </a:graphic>
        </wp:anchor>
      </w:drawing>
    </w:r>
    <w:r>
      <w:rPr>
        <w:noProof/>
        <w:lang w:val="pl-PL" w:eastAsia="pl-PL"/>
      </w:rPr>
      <w:drawing>
        <wp:anchor distT="0" distB="0" distL="114300" distR="114300" simplePos="0" relativeHeight="251658242" behindDoc="0" locked="0" layoutInCell="1" allowOverlap="1" wp14:anchorId="16564428" wp14:editId="06817B71">
          <wp:simplePos x="0" y="0"/>
          <wp:positionH relativeFrom="column">
            <wp:posOffset>-664152</wp:posOffset>
          </wp:positionH>
          <wp:positionV relativeFrom="paragraph">
            <wp:posOffset>-109682</wp:posOffset>
          </wp:positionV>
          <wp:extent cx="2018049" cy="685800"/>
          <wp:effectExtent l="0" t="0" r="1270" b="0"/>
          <wp:wrapNone/>
          <wp:docPr id="839011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8049" cy="68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C2025"/>
    <w:multiLevelType w:val="hybridMultilevel"/>
    <w:tmpl w:val="D95E74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6F04504"/>
    <w:multiLevelType w:val="hybridMultilevel"/>
    <w:tmpl w:val="44D4EE1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9301F01"/>
    <w:multiLevelType w:val="hybridMultilevel"/>
    <w:tmpl w:val="1F0A4E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AC0CC4"/>
    <w:multiLevelType w:val="hybridMultilevel"/>
    <w:tmpl w:val="460A50C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42692641">
    <w:abstractNumId w:val="3"/>
  </w:num>
  <w:num w:numId="2" w16cid:durableId="717508464">
    <w:abstractNumId w:val="2"/>
  </w:num>
  <w:num w:numId="3" w16cid:durableId="508981533">
    <w:abstractNumId w:val="0"/>
  </w:num>
  <w:num w:numId="4" w16cid:durableId="1958876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FCE"/>
    <w:rsid w:val="0000122B"/>
    <w:rsid w:val="00005425"/>
    <w:rsid w:val="0000609E"/>
    <w:rsid w:val="000328C5"/>
    <w:rsid w:val="00040F5F"/>
    <w:rsid w:val="000666CF"/>
    <w:rsid w:val="00072F36"/>
    <w:rsid w:val="000972C1"/>
    <w:rsid w:val="00097541"/>
    <w:rsid w:val="000A1D24"/>
    <w:rsid w:val="000A61D6"/>
    <w:rsid w:val="000C0C36"/>
    <w:rsid w:val="000C1C0A"/>
    <w:rsid w:val="000C7CFD"/>
    <w:rsid w:val="000E14A7"/>
    <w:rsid w:val="000E783F"/>
    <w:rsid w:val="001023E6"/>
    <w:rsid w:val="00103DC5"/>
    <w:rsid w:val="00143C75"/>
    <w:rsid w:val="00145FCE"/>
    <w:rsid w:val="001519D8"/>
    <w:rsid w:val="00167B17"/>
    <w:rsid w:val="001A43DB"/>
    <w:rsid w:val="001A5BD9"/>
    <w:rsid w:val="001B1D9B"/>
    <w:rsid w:val="001B4585"/>
    <w:rsid w:val="001D42F7"/>
    <w:rsid w:val="001D7EC2"/>
    <w:rsid w:val="001E013E"/>
    <w:rsid w:val="0021576C"/>
    <w:rsid w:val="00235624"/>
    <w:rsid w:val="00245C36"/>
    <w:rsid w:val="00262263"/>
    <w:rsid w:val="00263A54"/>
    <w:rsid w:val="00266FDC"/>
    <w:rsid w:val="002834EC"/>
    <w:rsid w:val="002841B1"/>
    <w:rsid w:val="00286FD8"/>
    <w:rsid w:val="002928B0"/>
    <w:rsid w:val="00295DE0"/>
    <w:rsid w:val="002A25F6"/>
    <w:rsid w:val="002A67F8"/>
    <w:rsid w:val="002B3B16"/>
    <w:rsid w:val="002B433D"/>
    <w:rsid w:val="002F0403"/>
    <w:rsid w:val="002F1A9D"/>
    <w:rsid w:val="003036C6"/>
    <w:rsid w:val="00305AA9"/>
    <w:rsid w:val="00305B7A"/>
    <w:rsid w:val="003222BB"/>
    <w:rsid w:val="00325D69"/>
    <w:rsid w:val="0033472B"/>
    <w:rsid w:val="00336CC7"/>
    <w:rsid w:val="00340A59"/>
    <w:rsid w:val="0035414B"/>
    <w:rsid w:val="00373999"/>
    <w:rsid w:val="00381B1D"/>
    <w:rsid w:val="00392C41"/>
    <w:rsid w:val="0039340A"/>
    <w:rsid w:val="003A512F"/>
    <w:rsid w:val="003B4948"/>
    <w:rsid w:val="003B59F1"/>
    <w:rsid w:val="003B59F6"/>
    <w:rsid w:val="003B700C"/>
    <w:rsid w:val="003D7524"/>
    <w:rsid w:val="003F1C18"/>
    <w:rsid w:val="00400A2C"/>
    <w:rsid w:val="00401AC5"/>
    <w:rsid w:val="00403E02"/>
    <w:rsid w:val="004057B3"/>
    <w:rsid w:val="0041374C"/>
    <w:rsid w:val="00430B8F"/>
    <w:rsid w:val="00431FEF"/>
    <w:rsid w:val="00451D6D"/>
    <w:rsid w:val="00481076"/>
    <w:rsid w:val="004A1284"/>
    <w:rsid w:val="004B1424"/>
    <w:rsid w:val="004C6804"/>
    <w:rsid w:val="004E6CA3"/>
    <w:rsid w:val="004F7434"/>
    <w:rsid w:val="0051144D"/>
    <w:rsid w:val="00525540"/>
    <w:rsid w:val="00544C03"/>
    <w:rsid w:val="00550145"/>
    <w:rsid w:val="0055428B"/>
    <w:rsid w:val="00573E13"/>
    <w:rsid w:val="00582A39"/>
    <w:rsid w:val="005A51C5"/>
    <w:rsid w:val="005A766D"/>
    <w:rsid w:val="005E604C"/>
    <w:rsid w:val="005F5916"/>
    <w:rsid w:val="005F70A0"/>
    <w:rsid w:val="006236FB"/>
    <w:rsid w:val="00627419"/>
    <w:rsid w:val="00644919"/>
    <w:rsid w:val="006471A4"/>
    <w:rsid w:val="0064757E"/>
    <w:rsid w:val="0067008A"/>
    <w:rsid w:val="006810B8"/>
    <w:rsid w:val="006A5BAB"/>
    <w:rsid w:val="006A78A6"/>
    <w:rsid w:val="006C4BFC"/>
    <w:rsid w:val="006D24D6"/>
    <w:rsid w:val="006E6A5C"/>
    <w:rsid w:val="006F116C"/>
    <w:rsid w:val="006F2E74"/>
    <w:rsid w:val="006F7FFC"/>
    <w:rsid w:val="007058B1"/>
    <w:rsid w:val="007331F3"/>
    <w:rsid w:val="00742F73"/>
    <w:rsid w:val="0074491D"/>
    <w:rsid w:val="00756CD9"/>
    <w:rsid w:val="0076580C"/>
    <w:rsid w:val="00767523"/>
    <w:rsid w:val="00771247"/>
    <w:rsid w:val="00782440"/>
    <w:rsid w:val="00783BF9"/>
    <w:rsid w:val="007B00AF"/>
    <w:rsid w:val="007C06B2"/>
    <w:rsid w:val="007C4345"/>
    <w:rsid w:val="007C4628"/>
    <w:rsid w:val="007D4ACB"/>
    <w:rsid w:val="007F064D"/>
    <w:rsid w:val="00814E64"/>
    <w:rsid w:val="00824E8E"/>
    <w:rsid w:val="008341D1"/>
    <w:rsid w:val="008366AC"/>
    <w:rsid w:val="0084208D"/>
    <w:rsid w:val="008639D3"/>
    <w:rsid w:val="0087744D"/>
    <w:rsid w:val="0088346C"/>
    <w:rsid w:val="008A1794"/>
    <w:rsid w:val="008D2247"/>
    <w:rsid w:val="008D4AD9"/>
    <w:rsid w:val="008E573B"/>
    <w:rsid w:val="00901C14"/>
    <w:rsid w:val="0090512F"/>
    <w:rsid w:val="009072D9"/>
    <w:rsid w:val="009745EE"/>
    <w:rsid w:val="00976B7B"/>
    <w:rsid w:val="009A04B6"/>
    <w:rsid w:val="009A1009"/>
    <w:rsid w:val="009B0042"/>
    <w:rsid w:val="009B1027"/>
    <w:rsid w:val="009B5DF5"/>
    <w:rsid w:val="009F2FB0"/>
    <w:rsid w:val="009F3CB3"/>
    <w:rsid w:val="009F6001"/>
    <w:rsid w:val="00A10227"/>
    <w:rsid w:val="00A1160B"/>
    <w:rsid w:val="00A13CBE"/>
    <w:rsid w:val="00A35AB2"/>
    <w:rsid w:val="00A37719"/>
    <w:rsid w:val="00A45805"/>
    <w:rsid w:val="00A507DD"/>
    <w:rsid w:val="00A561D2"/>
    <w:rsid w:val="00A655ED"/>
    <w:rsid w:val="00A80812"/>
    <w:rsid w:val="00AA6CCC"/>
    <w:rsid w:val="00AC054B"/>
    <w:rsid w:val="00AC2856"/>
    <w:rsid w:val="00AC40AC"/>
    <w:rsid w:val="00AC66AB"/>
    <w:rsid w:val="00AD37EC"/>
    <w:rsid w:val="00AD6E49"/>
    <w:rsid w:val="00AE11B5"/>
    <w:rsid w:val="00AE2113"/>
    <w:rsid w:val="00AF434D"/>
    <w:rsid w:val="00B0252A"/>
    <w:rsid w:val="00B16535"/>
    <w:rsid w:val="00B21C9E"/>
    <w:rsid w:val="00B22A51"/>
    <w:rsid w:val="00B23CF2"/>
    <w:rsid w:val="00B2559E"/>
    <w:rsid w:val="00B3143F"/>
    <w:rsid w:val="00B43EA9"/>
    <w:rsid w:val="00B54C32"/>
    <w:rsid w:val="00B6198C"/>
    <w:rsid w:val="00B72AE8"/>
    <w:rsid w:val="00B9292D"/>
    <w:rsid w:val="00BA17DA"/>
    <w:rsid w:val="00BD4C94"/>
    <w:rsid w:val="00BE5454"/>
    <w:rsid w:val="00BE7617"/>
    <w:rsid w:val="00BF19CD"/>
    <w:rsid w:val="00BF7FA3"/>
    <w:rsid w:val="00C04F6E"/>
    <w:rsid w:val="00C21138"/>
    <w:rsid w:val="00C23627"/>
    <w:rsid w:val="00C2543C"/>
    <w:rsid w:val="00C36E3F"/>
    <w:rsid w:val="00C438AF"/>
    <w:rsid w:val="00C517B8"/>
    <w:rsid w:val="00C606FC"/>
    <w:rsid w:val="00C60A38"/>
    <w:rsid w:val="00C6663B"/>
    <w:rsid w:val="00C8583F"/>
    <w:rsid w:val="00C87532"/>
    <w:rsid w:val="00CA1E33"/>
    <w:rsid w:val="00CB0D6C"/>
    <w:rsid w:val="00CB5EC8"/>
    <w:rsid w:val="00CE2639"/>
    <w:rsid w:val="00D32CD6"/>
    <w:rsid w:val="00D32F43"/>
    <w:rsid w:val="00D3385E"/>
    <w:rsid w:val="00D33ED2"/>
    <w:rsid w:val="00D45FCE"/>
    <w:rsid w:val="00D54F67"/>
    <w:rsid w:val="00D600D0"/>
    <w:rsid w:val="00D95FD2"/>
    <w:rsid w:val="00DA15FD"/>
    <w:rsid w:val="00DB0D05"/>
    <w:rsid w:val="00DB4522"/>
    <w:rsid w:val="00DC6B39"/>
    <w:rsid w:val="00DD73DC"/>
    <w:rsid w:val="00DE364D"/>
    <w:rsid w:val="00DF7C39"/>
    <w:rsid w:val="00E03E8D"/>
    <w:rsid w:val="00E14DC8"/>
    <w:rsid w:val="00E15523"/>
    <w:rsid w:val="00E16D11"/>
    <w:rsid w:val="00E410A6"/>
    <w:rsid w:val="00E61C6A"/>
    <w:rsid w:val="00E62F23"/>
    <w:rsid w:val="00E73764"/>
    <w:rsid w:val="00E848B8"/>
    <w:rsid w:val="00EA5E54"/>
    <w:rsid w:val="00EC6030"/>
    <w:rsid w:val="00ED45AD"/>
    <w:rsid w:val="00F11928"/>
    <w:rsid w:val="00F159DB"/>
    <w:rsid w:val="00F566FE"/>
    <w:rsid w:val="00F71604"/>
    <w:rsid w:val="00F801A5"/>
    <w:rsid w:val="00F94540"/>
    <w:rsid w:val="00F97EC8"/>
    <w:rsid w:val="00FC0459"/>
    <w:rsid w:val="0120B70E"/>
    <w:rsid w:val="02F3AD08"/>
    <w:rsid w:val="0321560D"/>
    <w:rsid w:val="038ACCA1"/>
    <w:rsid w:val="03CAA5B5"/>
    <w:rsid w:val="069D3D16"/>
    <w:rsid w:val="08483449"/>
    <w:rsid w:val="09A54ABD"/>
    <w:rsid w:val="0A6A20A6"/>
    <w:rsid w:val="0B501DB7"/>
    <w:rsid w:val="0C1E07BB"/>
    <w:rsid w:val="0F3650C6"/>
    <w:rsid w:val="109C3DB7"/>
    <w:rsid w:val="132DE855"/>
    <w:rsid w:val="14B9D434"/>
    <w:rsid w:val="152C7CC7"/>
    <w:rsid w:val="166A04CD"/>
    <w:rsid w:val="1677CE7D"/>
    <w:rsid w:val="1811A91A"/>
    <w:rsid w:val="1959BD9D"/>
    <w:rsid w:val="19D3786C"/>
    <w:rsid w:val="1FB2A38B"/>
    <w:rsid w:val="21596F9C"/>
    <w:rsid w:val="2237BAB3"/>
    <w:rsid w:val="225A63AD"/>
    <w:rsid w:val="23453E2A"/>
    <w:rsid w:val="2467DD67"/>
    <w:rsid w:val="26D3E50E"/>
    <w:rsid w:val="27C159AD"/>
    <w:rsid w:val="2A6B36B3"/>
    <w:rsid w:val="2A749744"/>
    <w:rsid w:val="2B5FC871"/>
    <w:rsid w:val="2BD05CA5"/>
    <w:rsid w:val="2C6C7817"/>
    <w:rsid w:val="2CD978D7"/>
    <w:rsid w:val="2D6C3AD2"/>
    <w:rsid w:val="2EE21F3C"/>
    <w:rsid w:val="2EFFCF3E"/>
    <w:rsid w:val="2FB38FA0"/>
    <w:rsid w:val="2FC58810"/>
    <w:rsid w:val="3175EB22"/>
    <w:rsid w:val="31C8018C"/>
    <w:rsid w:val="339664F4"/>
    <w:rsid w:val="34C59A6A"/>
    <w:rsid w:val="35E13356"/>
    <w:rsid w:val="3602B68D"/>
    <w:rsid w:val="380CF42D"/>
    <w:rsid w:val="38A1FE9B"/>
    <w:rsid w:val="39814E93"/>
    <w:rsid w:val="39A613D4"/>
    <w:rsid w:val="3B0798DC"/>
    <w:rsid w:val="3C5DB29E"/>
    <w:rsid w:val="3F4FD9A7"/>
    <w:rsid w:val="40289779"/>
    <w:rsid w:val="43B5778F"/>
    <w:rsid w:val="445FBA89"/>
    <w:rsid w:val="460C4326"/>
    <w:rsid w:val="492994D7"/>
    <w:rsid w:val="4BCDAA92"/>
    <w:rsid w:val="4C56CCDF"/>
    <w:rsid w:val="4EC0C425"/>
    <w:rsid w:val="4F25363E"/>
    <w:rsid w:val="4F734429"/>
    <w:rsid w:val="51D26CB4"/>
    <w:rsid w:val="51FCF1B2"/>
    <w:rsid w:val="527CEE95"/>
    <w:rsid w:val="530BC0D3"/>
    <w:rsid w:val="53A8CFB5"/>
    <w:rsid w:val="5421BEFE"/>
    <w:rsid w:val="54237F76"/>
    <w:rsid w:val="55BB9F1B"/>
    <w:rsid w:val="57746F43"/>
    <w:rsid w:val="577D4C5B"/>
    <w:rsid w:val="59A45F59"/>
    <w:rsid w:val="59E1B455"/>
    <w:rsid w:val="5A08A29F"/>
    <w:rsid w:val="5ABEB82E"/>
    <w:rsid w:val="5BBFCE40"/>
    <w:rsid w:val="5C9F42A9"/>
    <w:rsid w:val="6074F090"/>
    <w:rsid w:val="62305FAF"/>
    <w:rsid w:val="6396096C"/>
    <w:rsid w:val="6529DEEA"/>
    <w:rsid w:val="664DA99E"/>
    <w:rsid w:val="6790BDB9"/>
    <w:rsid w:val="679422FD"/>
    <w:rsid w:val="6879B0AA"/>
    <w:rsid w:val="68A74DE5"/>
    <w:rsid w:val="68CD78EC"/>
    <w:rsid w:val="6A6FD913"/>
    <w:rsid w:val="6F1D7D40"/>
    <w:rsid w:val="6FC4A429"/>
    <w:rsid w:val="71C68BEB"/>
    <w:rsid w:val="7223CAC4"/>
    <w:rsid w:val="73F05EC5"/>
    <w:rsid w:val="745D0BD7"/>
    <w:rsid w:val="752595BB"/>
    <w:rsid w:val="7683B95B"/>
    <w:rsid w:val="7A1A8FAE"/>
    <w:rsid w:val="7A1D2063"/>
    <w:rsid w:val="7AFF6273"/>
    <w:rsid w:val="7C89EF0F"/>
    <w:rsid w:val="7D7E0133"/>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760D9"/>
  <w15:docId w15:val="{B68DA630-C9BA-439A-AAC7-81E9F4F44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425"/>
  </w:style>
  <w:style w:type="paragraph" w:styleId="Heading1">
    <w:name w:val="heading 1"/>
    <w:basedOn w:val="Normal"/>
    <w:next w:val="Normal"/>
    <w:link w:val="Heading1Char"/>
    <w:uiPriority w:val="9"/>
    <w:qFormat/>
    <w:rsid w:val="00D45F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5F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5F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5F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5F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5F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5F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5F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5F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F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5F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5F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5F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5F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5F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5F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5F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5FCE"/>
    <w:rPr>
      <w:rFonts w:eastAsiaTheme="majorEastAsia" w:cstheme="majorBidi"/>
      <w:color w:val="272727" w:themeColor="text1" w:themeTint="D8"/>
    </w:rPr>
  </w:style>
  <w:style w:type="paragraph" w:styleId="Title">
    <w:name w:val="Title"/>
    <w:basedOn w:val="Normal"/>
    <w:next w:val="Normal"/>
    <w:link w:val="TitleChar"/>
    <w:uiPriority w:val="10"/>
    <w:qFormat/>
    <w:rsid w:val="00D45F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5F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5F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5F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5FCE"/>
    <w:pPr>
      <w:spacing w:before="160"/>
      <w:jc w:val="center"/>
    </w:pPr>
    <w:rPr>
      <w:i/>
      <w:iCs/>
      <w:color w:val="404040" w:themeColor="text1" w:themeTint="BF"/>
    </w:rPr>
  </w:style>
  <w:style w:type="character" w:customStyle="1" w:styleId="QuoteChar">
    <w:name w:val="Quote Char"/>
    <w:basedOn w:val="DefaultParagraphFont"/>
    <w:link w:val="Quote"/>
    <w:uiPriority w:val="29"/>
    <w:rsid w:val="00D45FCE"/>
    <w:rPr>
      <w:i/>
      <w:iCs/>
      <w:color w:val="404040" w:themeColor="text1" w:themeTint="BF"/>
    </w:rPr>
  </w:style>
  <w:style w:type="paragraph" w:styleId="ListParagraph">
    <w:name w:val="List Paragraph"/>
    <w:basedOn w:val="Normal"/>
    <w:uiPriority w:val="34"/>
    <w:qFormat/>
    <w:rsid w:val="00D45FCE"/>
    <w:pPr>
      <w:ind w:left="720"/>
      <w:contextualSpacing/>
    </w:pPr>
  </w:style>
  <w:style w:type="character" w:styleId="IntenseEmphasis">
    <w:name w:val="Intense Emphasis"/>
    <w:basedOn w:val="DefaultParagraphFont"/>
    <w:uiPriority w:val="21"/>
    <w:qFormat/>
    <w:rsid w:val="00D45FCE"/>
    <w:rPr>
      <w:i/>
      <w:iCs/>
      <w:color w:val="0F4761" w:themeColor="accent1" w:themeShade="BF"/>
    </w:rPr>
  </w:style>
  <w:style w:type="paragraph" w:styleId="IntenseQuote">
    <w:name w:val="Intense Quote"/>
    <w:basedOn w:val="Normal"/>
    <w:next w:val="Normal"/>
    <w:link w:val="IntenseQuoteChar"/>
    <w:uiPriority w:val="30"/>
    <w:qFormat/>
    <w:rsid w:val="00D45F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5FCE"/>
    <w:rPr>
      <w:i/>
      <w:iCs/>
      <w:color w:val="0F4761" w:themeColor="accent1" w:themeShade="BF"/>
    </w:rPr>
  </w:style>
  <w:style w:type="character" w:styleId="IntenseReference">
    <w:name w:val="Intense Reference"/>
    <w:basedOn w:val="DefaultParagraphFont"/>
    <w:uiPriority w:val="32"/>
    <w:qFormat/>
    <w:rsid w:val="00D45FCE"/>
    <w:rPr>
      <w:b/>
      <w:bCs/>
      <w:smallCaps/>
      <w:color w:val="0F4761" w:themeColor="accent1" w:themeShade="BF"/>
      <w:spacing w:val="5"/>
    </w:rPr>
  </w:style>
  <w:style w:type="paragraph" w:styleId="Header">
    <w:name w:val="header"/>
    <w:basedOn w:val="Normal"/>
    <w:link w:val="HeaderChar"/>
    <w:uiPriority w:val="99"/>
    <w:unhideWhenUsed/>
    <w:rsid w:val="00D45F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D45FCE"/>
  </w:style>
  <w:style w:type="paragraph" w:styleId="Footer">
    <w:name w:val="footer"/>
    <w:basedOn w:val="Normal"/>
    <w:link w:val="FooterChar"/>
    <w:uiPriority w:val="99"/>
    <w:unhideWhenUsed/>
    <w:rsid w:val="00D45F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D45FCE"/>
  </w:style>
  <w:style w:type="table" w:styleId="TableGrid">
    <w:name w:val="Table Grid"/>
    <w:basedOn w:val="TableNormal"/>
    <w:uiPriority w:val="39"/>
    <w:rsid w:val="00AD6E49"/>
    <w:pPr>
      <w:spacing w:after="0" w:line="240" w:lineRule="auto"/>
    </w:pPr>
    <w:rPr>
      <w:kern w:val="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6E49"/>
    <w:rPr>
      <w:color w:val="0000FF"/>
      <w:u w:val="single"/>
    </w:rPr>
  </w:style>
  <w:style w:type="character" w:styleId="UnresolvedMention">
    <w:name w:val="Unresolved Mention"/>
    <w:basedOn w:val="DefaultParagraphFont"/>
    <w:uiPriority w:val="99"/>
    <w:semiHidden/>
    <w:unhideWhenUsed/>
    <w:rsid w:val="002834EC"/>
    <w:rPr>
      <w:color w:val="605E5C"/>
      <w:shd w:val="clear" w:color="auto" w:fill="E1DFDD"/>
    </w:rPr>
  </w:style>
  <w:style w:type="paragraph" w:styleId="NormalWeb">
    <w:name w:val="Normal (Web)"/>
    <w:basedOn w:val="Normal"/>
    <w:uiPriority w:val="99"/>
    <w:semiHidden/>
    <w:unhideWhenUsed/>
    <w:rsid w:val="003B4948"/>
    <w:pPr>
      <w:spacing w:before="100" w:beforeAutospacing="1" w:after="100" w:afterAutospacing="1" w:line="240" w:lineRule="auto"/>
    </w:pPr>
    <w:rPr>
      <w:rFonts w:ascii="Times New Roman" w:eastAsia="Times New Roman" w:hAnsi="Times New Roman" w:cs="Times New Roman"/>
      <w:kern w:val="0"/>
      <w:sz w:val="24"/>
      <w:szCs w:val="24"/>
      <w:lang w:val="pl-PL" w:eastAsia="pl-PL"/>
    </w:rPr>
  </w:style>
  <w:style w:type="character" w:styleId="FollowedHyperlink">
    <w:name w:val="FollowedHyperlink"/>
    <w:basedOn w:val="DefaultParagraphFont"/>
    <w:uiPriority w:val="99"/>
    <w:semiHidden/>
    <w:unhideWhenUsed/>
    <w:rsid w:val="005F70A0"/>
    <w:rPr>
      <w:color w:val="96607D" w:themeColor="followedHyperlink"/>
      <w:u w:val="single"/>
    </w:rPr>
  </w:style>
  <w:style w:type="paragraph" w:styleId="EndnoteText">
    <w:name w:val="endnote text"/>
    <w:basedOn w:val="Normal"/>
    <w:link w:val="EndnoteTextChar"/>
    <w:uiPriority w:val="99"/>
    <w:semiHidden/>
    <w:unhideWhenUsed/>
    <w:rsid w:val="00B929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292D"/>
    <w:rPr>
      <w:sz w:val="20"/>
      <w:szCs w:val="20"/>
    </w:rPr>
  </w:style>
  <w:style w:type="character" w:styleId="EndnoteReference">
    <w:name w:val="endnote reference"/>
    <w:basedOn w:val="DefaultParagraphFont"/>
    <w:uiPriority w:val="99"/>
    <w:semiHidden/>
    <w:unhideWhenUsed/>
    <w:rsid w:val="00B9292D"/>
    <w:rPr>
      <w:vertAlign w:val="superscript"/>
    </w:rPr>
  </w:style>
  <w:style w:type="character" w:styleId="CommentReference">
    <w:name w:val="annotation reference"/>
    <w:basedOn w:val="DefaultParagraphFont"/>
    <w:uiPriority w:val="99"/>
    <w:semiHidden/>
    <w:unhideWhenUsed/>
    <w:rsid w:val="003222BB"/>
    <w:rPr>
      <w:sz w:val="16"/>
      <w:szCs w:val="16"/>
    </w:rPr>
  </w:style>
  <w:style w:type="paragraph" w:styleId="CommentText">
    <w:name w:val="annotation text"/>
    <w:basedOn w:val="Normal"/>
    <w:link w:val="CommentTextChar"/>
    <w:uiPriority w:val="99"/>
    <w:unhideWhenUsed/>
    <w:rsid w:val="003222BB"/>
    <w:pPr>
      <w:spacing w:line="240" w:lineRule="auto"/>
    </w:pPr>
    <w:rPr>
      <w:sz w:val="20"/>
      <w:szCs w:val="20"/>
    </w:rPr>
  </w:style>
  <w:style w:type="character" w:customStyle="1" w:styleId="CommentTextChar">
    <w:name w:val="Comment Text Char"/>
    <w:basedOn w:val="DefaultParagraphFont"/>
    <w:link w:val="CommentText"/>
    <w:uiPriority w:val="99"/>
    <w:rsid w:val="003222BB"/>
    <w:rPr>
      <w:sz w:val="20"/>
      <w:szCs w:val="20"/>
    </w:rPr>
  </w:style>
  <w:style w:type="paragraph" w:styleId="CommentSubject">
    <w:name w:val="annotation subject"/>
    <w:basedOn w:val="CommentText"/>
    <w:next w:val="CommentText"/>
    <w:link w:val="CommentSubjectChar"/>
    <w:uiPriority w:val="99"/>
    <w:semiHidden/>
    <w:unhideWhenUsed/>
    <w:rsid w:val="003222BB"/>
    <w:rPr>
      <w:b/>
      <w:bCs/>
    </w:rPr>
  </w:style>
  <w:style w:type="character" w:customStyle="1" w:styleId="CommentSubjectChar">
    <w:name w:val="Comment Subject Char"/>
    <w:basedOn w:val="CommentTextChar"/>
    <w:link w:val="CommentSubject"/>
    <w:uiPriority w:val="99"/>
    <w:semiHidden/>
    <w:rsid w:val="003222BB"/>
    <w:rPr>
      <w:b/>
      <w:bCs/>
      <w:sz w:val="20"/>
      <w:szCs w:val="20"/>
    </w:rPr>
  </w:style>
  <w:style w:type="paragraph" w:styleId="BalloonText">
    <w:name w:val="Balloon Text"/>
    <w:basedOn w:val="Normal"/>
    <w:link w:val="BalloonTextChar"/>
    <w:uiPriority w:val="99"/>
    <w:semiHidden/>
    <w:unhideWhenUsed/>
    <w:rsid w:val="003222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2BB"/>
    <w:rPr>
      <w:rFonts w:ascii="Segoe UI" w:hAnsi="Segoe UI" w:cs="Segoe UI"/>
      <w:sz w:val="18"/>
      <w:szCs w:val="18"/>
    </w:rPr>
  </w:style>
  <w:style w:type="paragraph" w:styleId="Revision">
    <w:name w:val="Revision"/>
    <w:hidden/>
    <w:uiPriority w:val="99"/>
    <w:semiHidden/>
    <w:rsid w:val="00CE2639"/>
    <w:pPr>
      <w:spacing w:after="0" w:line="240" w:lineRule="auto"/>
    </w:pPr>
  </w:style>
  <w:style w:type="character" w:styleId="Emphasis">
    <w:name w:val="Emphasis"/>
    <w:basedOn w:val="DefaultParagraphFont"/>
    <w:uiPriority w:val="20"/>
    <w:qFormat/>
    <w:rsid w:val="00A808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997352">
      <w:bodyDiv w:val="1"/>
      <w:marLeft w:val="0"/>
      <w:marRight w:val="0"/>
      <w:marTop w:val="0"/>
      <w:marBottom w:val="0"/>
      <w:divBdr>
        <w:top w:val="none" w:sz="0" w:space="0" w:color="auto"/>
        <w:left w:val="none" w:sz="0" w:space="0" w:color="auto"/>
        <w:bottom w:val="none" w:sz="0" w:space="0" w:color="auto"/>
        <w:right w:val="none" w:sz="0" w:space="0" w:color="auto"/>
      </w:divBdr>
      <w:divsChild>
        <w:div w:id="1305309592">
          <w:marLeft w:val="0"/>
          <w:marRight w:val="0"/>
          <w:marTop w:val="240"/>
          <w:marBottom w:val="240"/>
          <w:divBdr>
            <w:top w:val="none" w:sz="0" w:space="0" w:color="auto"/>
            <w:left w:val="none" w:sz="0" w:space="0" w:color="auto"/>
            <w:bottom w:val="none" w:sz="0" w:space="0" w:color="auto"/>
            <w:right w:val="none" w:sz="0" w:space="0" w:color="auto"/>
          </w:divBdr>
        </w:div>
        <w:div w:id="1849445323">
          <w:marLeft w:val="0"/>
          <w:marRight w:val="0"/>
          <w:marTop w:val="240"/>
          <w:marBottom w:val="240"/>
          <w:divBdr>
            <w:top w:val="none" w:sz="0" w:space="0" w:color="auto"/>
            <w:left w:val="none" w:sz="0" w:space="0" w:color="auto"/>
            <w:bottom w:val="none" w:sz="0" w:space="0" w:color="auto"/>
            <w:right w:val="none" w:sz="0" w:space="0" w:color="auto"/>
          </w:divBdr>
        </w:div>
        <w:div w:id="1177381033">
          <w:marLeft w:val="0"/>
          <w:marRight w:val="0"/>
          <w:marTop w:val="240"/>
          <w:marBottom w:val="240"/>
          <w:divBdr>
            <w:top w:val="none" w:sz="0" w:space="0" w:color="auto"/>
            <w:left w:val="none" w:sz="0" w:space="0" w:color="auto"/>
            <w:bottom w:val="none" w:sz="0" w:space="0" w:color="auto"/>
            <w:right w:val="none" w:sz="0" w:space="0" w:color="auto"/>
          </w:divBdr>
        </w:div>
        <w:div w:id="1199665017">
          <w:marLeft w:val="0"/>
          <w:marRight w:val="0"/>
          <w:marTop w:val="240"/>
          <w:marBottom w:val="240"/>
          <w:divBdr>
            <w:top w:val="none" w:sz="0" w:space="0" w:color="auto"/>
            <w:left w:val="none" w:sz="0" w:space="0" w:color="auto"/>
            <w:bottom w:val="none" w:sz="0" w:space="0" w:color="auto"/>
            <w:right w:val="none" w:sz="0" w:space="0" w:color="auto"/>
          </w:divBdr>
        </w:div>
        <w:div w:id="478769567">
          <w:marLeft w:val="0"/>
          <w:marRight w:val="0"/>
          <w:marTop w:val="240"/>
          <w:marBottom w:val="240"/>
          <w:divBdr>
            <w:top w:val="none" w:sz="0" w:space="0" w:color="auto"/>
            <w:left w:val="none" w:sz="0" w:space="0" w:color="auto"/>
            <w:bottom w:val="none" w:sz="0" w:space="0" w:color="auto"/>
            <w:right w:val="none" w:sz="0" w:space="0" w:color="auto"/>
          </w:divBdr>
        </w:div>
        <w:div w:id="2096780357">
          <w:marLeft w:val="0"/>
          <w:marRight w:val="0"/>
          <w:marTop w:val="240"/>
          <w:marBottom w:val="240"/>
          <w:divBdr>
            <w:top w:val="none" w:sz="0" w:space="0" w:color="auto"/>
            <w:left w:val="none" w:sz="0" w:space="0" w:color="auto"/>
            <w:bottom w:val="none" w:sz="0" w:space="0" w:color="auto"/>
            <w:right w:val="none" w:sz="0" w:space="0" w:color="auto"/>
          </w:divBdr>
        </w:div>
        <w:div w:id="2106342159">
          <w:marLeft w:val="0"/>
          <w:marRight w:val="0"/>
          <w:marTop w:val="240"/>
          <w:marBottom w:val="240"/>
          <w:divBdr>
            <w:top w:val="none" w:sz="0" w:space="0" w:color="auto"/>
            <w:left w:val="none" w:sz="0" w:space="0" w:color="auto"/>
            <w:bottom w:val="none" w:sz="0" w:space="0" w:color="auto"/>
            <w:right w:val="none" w:sz="0" w:space="0" w:color="auto"/>
          </w:divBdr>
        </w:div>
        <w:div w:id="1274020172">
          <w:marLeft w:val="0"/>
          <w:marRight w:val="0"/>
          <w:marTop w:val="240"/>
          <w:marBottom w:val="240"/>
          <w:divBdr>
            <w:top w:val="none" w:sz="0" w:space="0" w:color="auto"/>
            <w:left w:val="none" w:sz="0" w:space="0" w:color="auto"/>
            <w:bottom w:val="none" w:sz="0" w:space="0" w:color="auto"/>
            <w:right w:val="none" w:sz="0" w:space="0" w:color="auto"/>
          </w:divBdr>
        </w:div>
        <w:div w:id="1492479507">
          <w:marLeft w:val="0"/>
          <w:marRight w:val="0"/>
          <w:marTop w:val="240"/>
          <w:marBottom w:val="240"/>
          <w:divBdr>
            <w:top w:val="none" w:sz="0" w:space="0" w:color="auto"/>
            <w:left w:val="none" w:sz="0" w:space="0" w:color="auto"/>
            <w:bottom w:val="none" w:sz="0" w:space="0" w:color="auto"/>
            <w:right w:val="none" w:sz="0" w:space="0" w:color="auto"/>
          </w:divBdr>
        </w:div>
        <w:div w:id="36273026">
          <w:marLeft w:val="0"/>
          <w:marRight w:val="0"/>
          <w:marTop w:val="240"/>
          <w:marBottom w:val="240"/>
          <w:divBdr>
            <w:top w:val="none" w:sz="0" w:space="0" w:color="auto"/>
            <w:left w:val="none" w:sz="0" w:space="0" w:color="auto"/>
            <w:bottom w:val="none" w:sz="0" w:space="0" w:color="auto"/>
            <w:right w:val="none" w:sz="0" w:space="0" w:color="auto"/>
          </w:divBdr>
        </w:div>
        <w:div w:id="1435443931">
          <w:marLeft w:val="0"/>
          <w:marRight w:val="0"/>
          <w:marTop w:val="240"/>
          <w:marBottom w:val="240"/>
          <w:divBdr>
            <w:top w:val="none" w:sz="0" w:space="0" w:color="auto"/>
            <w:left w:val="none" w:sz="0" w:space="0" w:color="auto"/>
            <w:bottom w:val="none" w:sz="0" w:space="0" w:color="auto"/>
            <w:right w:val="none" w:sz="0" w:space="0" w:color="auto"/>
          </w:divBdr>
        </w:div>
        <w:div w:id="1069771035">
          <w:marLeft w:val="0"/>
          <w:marRight w:val="0"/>
          <w:marTop w:val="240"/>
          <w:marBottom w:val="240"/>
          <w:divBdr>
            <w:top w:val="none" w:sz="0" w:space="0" w:color="auto"/>
            <w:left w:val="none" w:sz="0" w:space="0" w:color="auto"/>
            <w:bottom w:val="none" w:sz="0" w:space="0" w:color="auto"/>
            <w:right w:val="none" w:sz="0" w:space="0" w:color="auto"/>
          </w:divBdr>
        </w:div>
        <w:div w:id="1207332433">
          <w:marLeft w:val="0"/>
          <w:marRight w:val="0"/>
          <w:marTop w:val="240"/>
          <w:marBottom w:val="240"/>
          <w:divBdr>
            <w:top w:val="none" w:sz="0" w:space="0" w:color="auto"/>
            <w:left w:val="none" w:sz="0" w:space="0" w:color="auto"/>
            <w:bottom w:val="none" w:sz="0" w:space="0" w:color="auto"/>
            <w:right w:val="none" w:sz="0" w:space="0" w:color="auto"/>
          </w:divBdr>
        </w:div>
        <w:div w:id="1428113457">
          <w:marLeft w:val="0"/>
          <w:marRight w:val="0"/>
          <w:marTop w:val="240"/>
          <w:marBottom w:val="240"/>
          <w:divBdr>
            <w:top w:val="none" w:sz="0" w:space="0" w:color="auto"/>
            <w:left w:val="none" w:sz="0" w:space="0" w:color="auto"/>
            <w:bottom w:val="none" w:sz="0" w:space="0" w:color="auto"/>
            <w:right w:val="none" w:sz="0" w:space="0" w:color="auto"/>
          </w:divBdr>
        </w:div>
        <w:div w:id="512114828">
          <w:marLeft w:val="0"/>
          <w:marRight w:val="0"/>
          <w:marTop w:val="240"/>
          <w:marBottom w:val="240"/>
          <w:divBdr>
            <w:top w:val="none" w:sz="0" w:space="0" w:color="auto"/>
            <w:left w:val="none" w:sz="0" w:space="0" w:color="auto"/>
            <w:bottom w:val="none" w:sz="0" w:space="0" w:color="auto"/>
            <w:right w:val="none" w:sz="0" w:space="0" w:color="auto"/>
          </w:divBdr>
        </w:div>
        <w:div w:id="1683168204">
          <w:marLeft w:val="0"/>
          <w:marRight w:val="0"/>
          <w:marTop w:val="240"/>
          <w:marBottom w:val="240"/>
          <w:divBdr>
            <w:top w:val="none" w:sz="0" w:space="0" w:color="auto"/>
            <w:left w:val="none" w:sz="0" w:space="0" w:color="auto"/>
            <w:bottom w:val="none" w:sz="0" w:space="0" w:color="auto"/>
            <w:right w:val="none" w:sz="0" w:space="0" w:color="auto"/>
          </w:divBdr>
        </w:div>
        <w:div w:id="1979410749">
          <w:marLeft w:val="0"/>
          <w:marRight w:val="0"/>
          <w:marTop w:val="240"/>
          <w:marBottom w:val="240"/>
          <w:divBdr>
            <w:top w:val="none" w:sz="0" w:space="0" w:color="auto"/>
            <w:left w:val="none" w:sz="0" w:space="0" w:color="auto"/>
            <w:bottom w:val="none" w:sz="0" w:space="0" w:color="auto"/>
            <w:right w:val="none" w:sz="0" w:space="0" w:color="auto"/>
          </w:divBdr>
        </w:div>
        <w:div w:id="2069067341">
          <w:marLeft w:val="0"/>
          <w:marRight w:val="0"/>
          <w:marTop w:val="240"/>
          <w:marBottom w:val="240"/>
          <w:divBdr>
            <w:top w:val="none" w:sz="0" w:space="0" w:color="auto"/>
            <w:left w:val="none" w:sz="0" w:space="0" w:color="auto"/>
            <w:bottom w:val="none" w:sz="0" w:space="0" w:color="auto"/>
            <w:right w:val="none" w:sz="0" w:space="0" w:color="auto"/>
          </w:divBdr>
        </w:div>
        <w:div w:id="336924548">
          <w:marLeft w:val="0"/>
          <w:marRight w:val="0"/>
          <w:marTop w:val="240"/>
          <w:marBottom w:val="240"/>
          <w:divBdr>
            <w:top w:val="none" w:sz="0" w:space="0" w:color="auto"/>
            <w:left w:val="none" w:sz="0" w:space="0" w:color="auto"/>
            <w:bottom w:val="none" w:sz="0" w:space="0" w:color="auto"/>
            <w:right w:val="none" w:sz="0" w:space="0" w:color="auto"/>
          </w:divBdr>
        </w:div>
        <w:div w:id="1252466446">
          <w:marLeft w:val="0"/>
          <w:marRight w:val="0"/>
          <w:marTop w:val="240"/>
          <w:marBottom w:val="240"/>
          <w:divBdr>
            <w:top w:val="none" w:sz="0" w:space="0" w:color="auto"/>
            <w:left w:val="none" w:sz="0" w:space="0" w:color="auto"/>
            <w:bottom w:val="none" w:sz="0" w:space="0" w:color="auto"/>
            <w:right w:val="none" w:sz="0" w:space="0" w:color="auto"/>
          </w:divBdr>
        </w:div>
        <w:div w:id="1516311873">
          <w:marLeft w:val="0"/>
          <w:marRight w:val="0"/>
          <w:marTop w:val="240"/>
          <w:marBottom w:val="240"/>
          <w:divBdr>
            <w:top w:val="none" w:sz="0" w:space="0" w:color="auto"/>
            <w:left w:val="none" w:sz="0" w:space="0" w:color="auto"/>
            <w:bottom w:val="none" w:sz="0" w:space="0" w:color="auto"/>
            <w:right w:val="none" w:sz="0" w:space="0" w:color="auto"/>
          </w:divBdr>
        </w:div>
        <w:div w:id="1675957274">
          <w:marLeft w:val="0"/>
          <w:marRight w:val="0"/>
          <w:marTop w:val="240"/>
          <w:marBottom w:val="240"/>
          <w:divBdr>
            <w:top w:val="none" w:sz="0" w:space="0" w:color="auto"/>
            <w:left w:val="none" w:sz="0" w:space="0" w:color="auto"/>
            <w:bottom w:val="none" w:sz="0" w:space="0" w:color="auto"/>
            <w:right w:val="none" w:sz="0" w:space="0" w:color="auto"/>
          </w:divBdr>
        </w:div>
        <w:div w:id="1156603138">
          <w:marLeft w:val="0"/>
          <w:marRight w:val="0"/>
          <w:marTop w:val="240"/>
          <w:marBottom w:val="240"/>
          <w:divBdr>
            <w:top w:val="none" w:sz="0" w:space="0" w:color="auto"/>
            <w:left w:val="none" w:sz="0" w:space="0" w:color="auto"/>
            <w:bottom w:val="none" w:sz="0" w:space="0" w:color="auto"/>
            <w:right w:val="none" w:sz="0" w:space="0" w:color="auto"/>
          </w:divBdr>
        </w:div>
        <w:div w:id="770734877">
          <w:marLeft w:val="0"/>
          <w:marRight w:val="0"/>
          <w:marTop w:val="240"/>
          <w:marBottom w:val="240"/>
          <w:divBdr>
            <w:top w:val="none" w:sz="0" w:space="0" w:color="auto"/>
            <w:left w:val="none" w:sz="0" w:space="0" w:color="auto"/>
            <w:bottom w:val="none" w:sz="0" w:space="0" w:color="auto"/>
            <w:right w:val="none" w:sz="0" w:space="0" w:color="auto"/>
          </w:divBdr>
        </w:div>
        <w:div w:id="1109352611">
          <w:marLeft w:val="0"/>
          <w:marRight w:val="0"/>
          <w:marTop w:val="240"/>
          <w:marBottom w:val="240"/>
          <w:divBdr>
            <w:top w:val="none" w:sz="0" w:space="0" w:color="auto"/>
            <w:left w:val="none" w:sz="0" w:space="0" w:color="auto"/>
            <w:bottom w:val="none" w:sz="0" w:space="0" w:color="auto"/>
            <w:right w:val="none" w:sz="0" w:space="0" w:color="auto"/>
          </w:divBdr>
        </w:div>
        <w:div w:id="1622762177">
          <w:marLeft w:val="0"/>
          <w:marRight w:val="0"/>
          <w:marTop w:val="240"/>
          <w:marBottom w:val="240"/>
          <w:divBdr>
            <w:top w:val="none" w:sz="0" w:space="0" w:color="auto"/>
            <w:left w:val="none" w:sz="0" w:space="0" w:color="auto"/>
            <w:bottom w:val="none" w:sz="0" w:space="0" w:color="auto"/>
            <w:right w:val="none" w:sz="0" w:space="0" w:color="auto"/>
          </w:divBdr>
        </w:div>
      </w:divsChild>
    </w:div>
    <w:div w:id="844591377">
      <w:bodyDiv w:val="1"/>
      <w:marLeft w:val="0"/>
      <w:marRight w:val="0"/>
      <w:marTop w:val="0"/>
      <w:marBottom w:val="0"/>
      <w:divBdr>
        <w:top w:val="none" w:sz="0" w:space="0" w:color="auto"/>
        <w:left w:val="none" w:sz="0" w:space="0" w:color="auto"/>
        <w:bottom w:val="none" w:sz="0" w:space="0" w:color="auto"/>
        <w:right w:val="none" w:sz="0" w:space="0" w:color="auto"/>
      </w:divBdr>
    </w:div>
    <w:div w:id="1632202558">
      <w:bodyDiv w:val="1"/>
      <w:marLeft w:val="0"/>
      <w:marRight w:val="0"/>
      <w:marTop w:val="0"/>
      <w:marBottom w:val="0"/>
      <w:divBdr>
        <w:top w:val="none" w:sz="0" w:space="0" w:color="auto"/>
        <w:left w:val="none" w:sz="0" w:space="0" w:color="auto"/>
        <w:bottom w:val="none" w:sz="0" w:space="0" w:color="auto"/>
        <w:right w:val="none" w:sz="0" w:space="0" w:color="auto"/>
      </w:divBdr>
      <w:divsChild>
        <w:div w:id="1703438126">
          <w:marLeft w:val="0"/>
          <w:marRight w:val="0"/>
          <w:marTop w:val="240"/>
          <w:marBottom w:val="240"/>
          <w:divBdr>
            <w:top w:val="none" w:sz="0" w:space="0" w:color="auto"/>
            <w:left w:val="none" w:sz="0" w:space="0" w:color="auto"/>
            <w:bottom w:val="none" w:sz="0" w:space="0" w:color="auto"/>
            <w:right w:val="none" w:sz="0" w:space="0" w:color="auto"/>
          </w:divBdr>
        </w:div>
        <w:div w:id="1852598321">
          <w:marLeft w:val="0"/>
          <w:marRight w:val="0"/>
          <w:marTop w:val="240"/>
          <w:marBottom w:val="240"/>
          <w:divBdr>
            <w:top w:val="none" w:sz="0" w:space="0" w:color="auto"/>
            <w:left w:val="none" w:sz="0" w:space="0" w:color="auto"/>
            <w:bottom w:val="none" w:sz="0" w:space="0" w:color="auto"/>
            <w:right w:val="none" w:sz="0" w:space="0" w:color="auto"/>
          </w:divBdr>
        </w:div>
        <w:div w:id="1186746272">
          <w:marLeft w:val="0"/>
          <w:marRight w:val="0"/>
          <w:marTop w:val="240"/>
          <w:marBottom w:val="240"/>
          <w:divBdr>
            <w:top w:val="none" w:sz="0" w:space="0" w:color="auto"/>
            <w:left w:val="none" w:sz="0" w:space="0" w:color="auto"/>
            <w:bottom w:val="none" w:sz="0" w:space="0" w:color="auto"/>
            <w:right w:val="none" w:sz="0" w:space="0" w:color="auto"/>
          </w:divBdr>
        </w:div>
        <w:div w:id="1502310922">
          <w:marLeft w:val="0"/>
          <w:marRight w:val="0"/>
          <w:marTop w:val="240"/>
          <w:marBottom w:val="240"/>
          <w:divBdr>
            <w:top w:val="none" w:sz="0" w:space="0" w:color="auto"/>
            <w:left w:val="none" w:sz="0" w:space="0" w:color="auto"/>
            <w:bottom w:val="none" w:sz="0" w:space="0" w:color="auto"/>
            <w:right w:val="none" w:sz="0" w:space="0" w:color="auto"/>
          </w:divBdr>
        </w:div>
        <w:div w:id="104929514">
          <w:marLeft w:val="0"/>
          <w:marRight w:val="0"/>
          <w:marTop w:val="240"/>
          <w:marBottom w:val="240"/>
          <w:divBdr>
            <w:top w:val="none" w:sz="0" w:space="0" w:color="auto"/>
            <w:left w:val="none" w:sz="0" w:space="0" w:color="auto"/>
            <w:bottom w:val="none" w:sz="0" w:space="0" w:color="auto"/>
            <w:right w:val="none" w:sz="0" w:space="0" w:color="auto"/>
          </w:divBdr>
        </w:div>
        <w:div w:id="1641304410">
          <w:marLeft w:val="0"/>
          <w:marRight w:val="0"/>
          <w:marTop w:val="240"/>
          <w:marBottom w:val="240"/>
          <w:divBdr>
            <w:top w:val="none" w:sz="0" w:space="0" w:color="auto"/>
            <w:left w:val="none" w:sz="0" w:space="0" w:color="auto"/>
            <w:bottom w:val="none" w:sz="0" w:space="0" w:color="auto"/>
            <w:right w:val="none" w:sz="0" w:space="0" w:color="auto"/>
          </w:divBdr>
        </w:div>
        <w:div w:id="33817385">
          <w:marLeft w:val="0"/>
          <w:marRight w:val="0"/>
          <w:marTop w:val="240"/>
          <w:marBottom w:val="240"/>
          <w:divBdr>
            <w:top w:val="none" w:sz="0" w:space="0" w:color="auto"/>
            <w:left w:val="none" w:sz="0" w:space="0" w:color="auto"/>
            <w:bottom w:val="none" w:sz="0" w:space="0" w:color="auto"/>
            <w:right w:val="none" w:sz="0" w:space="0" w:color="auto"/>
          </w:divBdr>
        </w:div>
        <w:div w:id="833959627">
          <w:marLeft w:val="0"/>
          <w:marRight w:val="0"/>
          <w:marTop w:val="240"/>
          <w:marBottom w:val="240"/>
          <w:divBdr>
            <w:top w:val="none" w:sz="0" w:space="0" w:color="auto"/>
            <w:left w:val="none" w:sz="0" w:space="0" w:color="auto"/>
            <w:bottom w:val="none" w:sz="0" w:space="0" w:color="auto"/>
            <w:right w:val="none" w:sz="0" w:space="0" w:color="auto"/>
          </w:divBdr>
        </w:div>
        <w:div w:id="699086555">
          <w:marLeft w:val="0"/>
          <w:marRight w:val="0"/>
          <w:marTop w:val="240"/>
          <w:marBottom w:val="240"/>
          <w:divBdr>
            <w:top w:val="none" w:sz="0" w:space="0" w:color="auto"/>
            <w:left w:val="none" w:sz="0" w:space="0" w:color="auto"/>
            <w:bottom w:val="none" w:sz="0" w:space="0" w:color="auto"/>
            <w:right w:val="none" w:sz="0" w:space="0" w:color="auto"/>
          </w:divBdr>
        </w:div>
        <w:div w:id="2020501163">
          <w:marLeft w:val="0"/>
          <w:marRight w:val="0"/>
          <w:marTop w:val="240"/>
          <w:marBottom w:val="240"/>
          <w:divBdr>
            <w:top w:val="none" w:sz="0" w:space="0" w:color="auto"/>
            <w:left w:val="none" w:sz="0" w:space="0" w:color="auto"/>
            <w:bottom w:val="none" w:sz="0" w:space="0" w:color="auto"/>
            <w:right w:val="none" w:sz="0" w:space="0" w:color="auto"/>
          </w:divBdr>
        </w:div>
        <w:div w:id="1157460071">
          <w:marLeft w:val="0"/>
          <w:marRight w:val="0"/>
          <w:marTop w:val="240"/>
          <w:marBottom w:val="240"/>
          <w:divBdr>
            <w:top w:val="none" w:sz="0" w:space="0" w:color="auto"/>
            <w:left w:val="none" w:sz="0" w:space="0" w:color="auto"/>
            <w:bottom w:val="none" w:sz="0" w:space="0" w:color="auto"/>
            <w:right w:val="none" w:sz="0" w:space="0" w:color="auto"/>
          </w:divBdr>
        </w:div>
        <w:div w:id="1083532624">
          <w:marLeft w:val="0"/>
          <w:marRight w:val="0"/>
          <w:marTop w:val="240"/>
          <w:marBottom w:val="240"/>
          <w:divBdr>
            <w:top w:val="none" w:sz="0" w:space="0" w:color="auto"/>
            <w:left w:val="none" w:sz="0" w:space="0" w:color="auto"/>
            <w:bottom w:val="none" w:sz="0" w:space="0" w:color="auto"/>
            <w:right w:val="none" w:sz="0" w:space="0" w:color="auto"/>
          </w:divBdr>
        </w:div>
        <w:div w:id="1384254044">
          <w:marLeft w:val="0"/>
          <w:marRight w:val="0"/>
          <w:marTop w:val="240"/>
          <w:marBottom w:val="240"/>
          <w:divBdr>
            <w:top w:val="none" w:sz="0" w:space="0" w:color="auto"/>
            <w:left w:val="none" w:sz="0" w:space="0" w:color="auto"/>
            <w:bottom w:val="none" w:sz="0" w:space="0" w:color="auto"/>
            <w:right w:val="none" w:sz="0" w:space="0" w:color="auto"/>
          </w:divBdr>
        </w:div>
        <w:div w:id="157354318">
          <w:marLeft w:val="0"/>
          <w:marRight w:val="0"/>
          <w:marTop w:val="240"/>
          <w:marBottom w:val="240"/>
          <w:divBdr>
            <w:top w:val="none" w:sz="0" w:space="0" w:color="auto"/>
            <w:left w:val="none" w:sz="0" w:space="0" w:color="auto"/>
            <w:bottom w:val="none" w:sz="0" w:space="0" w:color="auto"/>
            <w:right w:val="none" w:sz="0" w:space="0" w:color="auto"/>
          </w:divBdr>
        </w:div>
        <w:div w:id="1879851028">
          <w:marLeft w:val="0"/>
          <w:marRight w:val="0"/>
          <w:marTop w:val="240"/>
          <w:marBottom w:val="240"/>
          <w:divBdr>
            <w:top w:val="none" w:sz="0" w:space="0" w:color="auto"/>
            <w:left w:val="none" w:sz="0" w:space="0" w:color="auto"/>
            <w:bottom w:val="none" w:sz="0" w:space="0" w:color="auto"/>
            <w:right w:val="none" w:sz="0" w:space="0" w:color="auto"/>
          </w:divBdr>
        </w:div>
        <w:div w:id="1626809408">
          <w:marLeft w:val="0"/>
          <w:marRight w:val="0"/>
          <w:marTop w:val="240"/>
          <w:marBottom w:val="240"/>
          <w:divBdr>
            <w:top w:val="none" w:sz="0" w:space="0" w:color="auto"/>
            <w:left w:val="none" w:sz="0" w:space="0" w:color="auto"/>
            <w:bottom w:val="none" w:sz="0" w:space="0" w:color="auto"/>
            <w:right w:val="none" w:sz="0" w:space="0" w:color="auto"/>
          </w:divBdr>
        </w:div>
        <w:div w:id="1039822653">
          <w:marLeft w:val="0"/>
          <w:marRight w:val="0"/>
          <w:marTop w:val="240"/>
          <w:marBottom w:val="240"/>
          <w:divBdr>
            <w:top w:val="none" w:sz="0" w:space="0" w:color="auto"/>
            <w:left w:val="none" w:sz="0" w:space="0" w:color="auto"/>
            <w:bottom w:val="none" w:sz="0" w:space="0" w:color="auto"/>
            <w:right w:val="none" w:sz="0" w:space="0" w:color="auto"/>
          </w:divBdr>
        </w:div>
        <w:div w:id="693459422">
          <w:marLeft w:val="0"/>
          <w:marRight w:val="0"/>
          <w:marTop w:val="240"/>
          <w:marBottom w:val="240"/>
          <w:divBdr>
            <w:top w:val="none" w:sz="0" w:space="0" w:color="auto"/>
            <w:left w:val="none" w:sz="0" w:space="0" w:color="auto"/>
            <w:bottom w:val="none" w:sz="0" w:space="0" w:color="auto"/>
            <w:right w:val="none" w:sz="0" w:space="0" w:color="auto"/>
          </w:divBdr>
        </w:div>
        <w:div w:id="977415034">
          <w:marLeft w:val="0"/>
          <w:marRight w:val="0"/>
          <w:marTop w:val="240"/>
          <w:marBottom w:val="240"/>
          <w:divBdr>
            <w:top w:val="none" w:sz="0" w:space="0" w:color="auto"/>
            <w:left w:val="none" w:sz="0" w:space="0" w:color="auto"/>
            <w:bottom w:val="none" w:sz="0" w:space="0" w:color="auto"/>
            <w:right w:val="none" w:sz="0" w:space="0" w:color="auto"/>
          </w:divBdr>
        </w:div>
        <w:div w:id="1837527656">
          <w:marLeft w:val="0"/>
          <w:marRight w:val="0"/>
          <w:marTop w:val="240"/>
          <w:marBottom w:val="240"/>
          <w:divBdr>
            <w:top w:val="none" w:sz="0" w:space="0" w:color="auto"/>
            <w:left w:val="none" w:sz="0" w:space="0" w:color="auto"/>
            <w:bottom w:val="none" w:sz="0" w:space="0" w:color="auto"/>
            <w:right w:val="none" w:sz="0" w:space="0" w:color="auto"/>
          </w:divBdr>
        </w:div>
        <w:div w:id="610936371">
          <w:marLeft w:val="0"/>
          <w:marRight w:val="0"/>
          <w:marTop w:val="240"/>
          <w:marBottom w:val="240"/>
          <w:divBdr>
            <w:top w:val="none" w:sz="0" w:space="0" w:color="auto"/>
            <w:left w:val="none" w:sz="0" w:space="0" w:color="auto"/>
            <w:bottom w:val="none" w:sz="0" w:space="0" w:color="auto"/>
            <w:right w:val="none" w:sz="0" w:space="0" w:color="auto"/>
          </w:divBdr>
        </w:div>
        <w:div w:id="1936327453">
          <w:marLeft w:val="0"/>
          <w:marRight w:val="0"/>
          <w:marTop w:val="240"/>
          <w:marBottom w:val="240"/>
          <w:divBdr>
            <w:top w:val="none" w:sz="0" w:space="0" w:color="auto"/>
            <w:left w:val="none" w:sz="0" w:space="0" w:color="auto"/>
            <w:bottom w:val="none" w:sz="0" w:space="0" w:color="auto"/>
            <w:right w:val="none" w:sz="0" w:space="0" w:color="auto"/>
          </w:divBdr>
        </w:div>
        <w:div w:id="1771663635">
          <w:marLeft w:val="0"/>
          <w:marRight w:val="0"/>
          <w:marTop w:val="240"/>
          <w:marBottom w:val="240"/>
          <w:divBdr>
            <w:top w:val="none" w:sz="0" w:space="0" w:color="auto"/>
            <w:left w:val="none" w:sz="0" w:space="0" w:color="auto"/>
            <w:bottom w:val="none" w:sz="0" w:space="0" w:color="auto"/>
            <w:right w:val="none" w:sz="0" w:space="0" w:color="auto"/>
          </w:divBdr>
        </w:div>
        <w:div w:id="568808480">
          <w:marLeft w:val="0"/>
          <w:marRight w:val="0"/>
          <w:marTop w:val="240"/>
          <w:marBottom w:val="240"/>
          <w:divBdr>
            <w:top w:val="none" w:sz="0" w:space="0" w:color="auto"/>
            <w:left w:val="none" w:sz="0" w:space="0" w:color="auto"/>
            <w:bottom w:val="none" w:sz="0" w:space="0" w:color="auto"/>
            <w:right w:val="none" w:sz="0" w:space="0" w:color="auto"/>
          </w:divBdr>
        </w:div>
        <w:div w:id="1861236659">
          <w:marLeft w:val="0"/>
          <w:marRight w:val="0"/>
          <w:marTop w:val="240"/>
          <w:marBottom w:val="240"/>
          <w:divBdr>
            <w:top w:val="none" w:sz="0" w:space="0" w:color="auto"/>
            <w:left w:val="none" w:sz="0" w:space="0" w:color="auto"/>
            <w:bottom w:val="none" w:sz="0" w:space="0" w:color="auto"/>
            <w:right w:val="none" w:sz="0" w:space="0" w:color="auto"/>
          </w:divBdr>
        </w:div>
        <w:div w:id="1467964748">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chapter/10.1007/978-3-031-18923-4_6/figures/4" TargetMode="External"/><Relationship Id="rId18" Type="http://schemas.openxmlformats.org/officeDocument/2006/relationships/hyperlink" Target="https://doi.org/10.1007/978-3-031-18923-4_6" TargetMode="External"/><Relationship Id="rId26" Type="http://schemas.openxmlformats.org/officeDocument/2006/relationships/hyperlink" Target="https://doi.org/10.1111/jvs.12727" TargetMode="External"/><Relationship Id="rId39" Type="http://schemas.openxmlformats.org/officeDocument/2006/relationships/hyperlink" Target="https://www.millenniumassessment.org" TargetMode="External"/><Relationship Id="rId21" Type="http://schemas.openxmlformats.org/officeDocument/2006/relationships/hyperlink" Target="https://www.eurovia.org/wp-content/uploads/2016/11/defining-land-grabs.pdf" TargetMode="External"/><Relationship Id="rId34" Type="http://schemas.openxmlformats.org/officeDocument/2006/relationships/hyperlink" Target="https://web.mit.edu/jrankin/www/interdisciplinary/interdisc_Newell.pdf"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oilcare-project.eu/resources/glossary" TargetMode="External"/><Relationship Id="rId20" Type="http://schemas.openxmlformats.org/officeDocument/2006/relationships/hyperlink" Target="https://ohioline.osu.edu/factsheet/SAG-19" TargetMode="External"/><Relationship Id="rId29" Type="http://schemas.openxmlformats.org/officeDocument/2006/relationships/hyperlink" Target="https://techresearchonline.com/blog/10-new-ways-to-communicate-digitally-age-of-digital-technology/"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3390/agriculture10090394" TargetMode="External"/><Relationship Id="rId32" Type="http://schemas.openxmlformats.org/officeDocument/2006/relationships/hyperlink" Target="https://www.who.int/teams/noncommunicable-diseases/sensory-functions-disability-and-rehabilitation/world-report-on-disability" TargetMode="External"/><Relationship Id="rId37" Type="http://schemas.openxmlformats.org/officeDocument/2006/relationships/hyperlink" Target="https://doi.org/10.2489/jswc.2020.0620A" TargetMode="External"/><Relationship Id="rId40" Type="http://schemas.openxmlformats.org/officeDocument/2006/relationships/hyperlink" Target="https://research-and-innovation.ec.europa.eu/knowledge-publications-tools-and-data/publications/all-publications/implementation-plans-eu-missions_en" TargetMode="External"/><Relationship Id="rId5" Type="http://schemas.openxmlformats.org/officeDocument/2006/relationships/numbering" Target="numbering.xml"/><Relationship Id="rId15" Type="http://schemas.openxmlformats.org/officeDocument/2006/relationships/hyperlink" Target="https://soilhealthbenchmarks.eu/glossary/" TargetMode="External"/><Relationship Id="rId23" Type="http://schemas.openxmlformats.org/officeDocument/2006/relationships/hyperlink" Target="https://www.landis.org.uk/downloads/downloads/Glossary.pdf" TargetMode="External"/><Relationship Id="rId28" Type="http://schemas.openxmlformats.org/officeDocument/2006/relationships/hyperlink" Target="https://www.sbcguidance.org/understand/social-and-behaviour-change-communication" TargetMode="External"/><Relationship Id="rId36" Type="http://schemas.openxmlformats.org/officeDocument/2006/relationships/hyperlink" Target="https://doi.org/10.4060/cb4476en" TargetMode="External"/><Relationship Id="rId10" Type="http://schemas.openxmlformats.org/officeDocument/2006/relationships/endnotes" Target="endnotes.xml"/><Relationship Id="rId19" Type="http://schemas.openxmlformats.org/officeDocument/2006/relationships/hyperlink" Target="https://link.springer.com/chapter/10.1007/978-3-031-18923-4_6" TargetMode="External"/><Relationship Id="rId31" Type="http://schemas.openxmlformats.org/officeDocument/2006/relationships/hyperlink" Target="https://www.oed.com/search/dictionary"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bsoil.eu/glossary/" TargetMode="External"/><Relationship Id="rId22" Type="http://schemas.openxmlformats.org/officeDocument/2006/relationships/hyperlink" Target="https://doi.org/10.1080/10643389.2023.2228651" TargetMode="External"/><Relationship Id="rId27" Type="http://schemas.openxmlformats.org/officeDocument/2006/relationships/hyperlink" Target="https://doi.org/10.1108/jefas-12-2021-0267" TargetMode="External"/><Relationship Id="rId30" Type="http://schemas.openxmlformats.org/officeDocument/2006/relationships/hyperlink" Target="https://doi.org/10.26522/ssj.v15i2.2657" TargetMode="External"/><Relationship Id="rId35" Type="http://schemas.openxmlformats.org/officeDocument/2006/relationships/hyperlink" Target="http://dx.doi.org/10.1201/b12500"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landmarkproject.eu/landmark-glossary/" TargetMode="External"/><Relationship Id="rId25" Type="http://schemas.openxmlformats.org/officeDocument/2006/relationships/hyperlink" Target="https://doi.org/10.4236/AJPS.2018.99140" TargetMode="External"/><Relationship Id="rId33" Type="http://schemas.openxmlformats.org/officeDocument/2006/relationships/hyperlink" Target="https://www.uu.nl/en/research/transdisciplinary-field-guide/get-started/what-is-transdisciplinary-research" TargetMode="External"/><Relationship Id="rId38" Type="http://schemas.openxmlformats.org/officeDocument/2006/relationships/hyperlink" Target="https://doi.org/10.1016/j.anifeedsci.2011.04.03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C78329-37B3-4325-A18E-19616F79389A}">
  <ds:schemaRefs>
    <ds:schemaRef ds:uri="http://schemas.openxmlformats.org/officeDocument/2006/bibliography"/>
  </ds:schemaRefs>
</ds:datastoreItem>
</file>

<file path=customXml/itemProps2.xml><?xml version="1.0" encoding="utf-8"?>
<ds:datastoreItem xmlns:ds="http://schemas.openxmlformats.org/officeDocument/2006/customXml" ds:itemID="{236827E7-2258-4C64-97A8-CABC1A7F85DC}"/>
</file>

<file path=customXml/itemProps3.xml><?xml version="1.0" encoding="utf-8"?>
<ds:datastoreItem xmlns:ds="http://schemas.openxmlformats.org/officeDocument/2006/customXml" ds:itemID="{1BF969EB-EA69-467B-AFCE-2832D0B14543}">
  <ds:schemaRefs>
    <ds:schemaRef ds:uri="http://schemas.microsoft.com/sharepoint/v3/contenttype/forms"/>
  </ds:schemaRefs>
</ds:datastoreItem>
</file>

<file path=customXml/itemProps4.xml><?xml version="1.0" encoding="utf-8"?>
<ds:datastoreItem xmlns:ds="http://schemas.openxmlformats.org/officeDocument/2006/customXml" ds:itemID="{5E5CC1C9-4CA6-46E3-989B-F25CE603C456}">
  <ds:schemaRefs>
    <ds:schemaRef ds:uri="http://schemas.microsoft.com/office/2006/metadata/properties"/>
    <ds:schemaRef ds:uri="http://schemas.microsoft.com/office/infopath/2007/PartnerControls"/>
    <ds:schemaRef ds:uri="49b9c972-6c78-424e-8500-a22f256d764b"/>
    <ds:schemaRef ds:uri="664392dc-dad9-45cc-9b02-6ff2a8be1f79"/>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9237</Words>
  <Characters>52657</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Santolalla</dc:creator>
  <cp:lastModifiedBy>Ioanna Mantopoulou</cp:lastModifiedBy>
  <cp:revision>5</cp:revision>
  <dcterms:created xsi:type="dcterms:W3CDTF">2025-03-24T12:06:00Z</dcterms:created>
  <dcterms:modified xsi:type="dcterms:W3CDTF">2025-04-04T09:07:00Z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y fmtid="{D5CDD505-2E9C-101B-9397-08002B2CF9AE}" pid="3" name="MediaServiceImageTags">
    <vt:lpwstr/>
  </property>
</Properties>
</file>