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CC2F5" w14:textId="77777777" w:rsidR="00AD6E49" w:rsidRPr="008C1EAE" w:rsidRDefault="00AD6E49" w:rsidP="00AD6E49">
      <w:pPr>
        <w:spacing w:after="0" w:line="520" w:lineRule="exact"/>
        <w:jc w:val="center"/>
        <w:rPr>
          <w:rFonts w:ascii="Times New Roman" w:eastAsiaTheme="minorEastAsia" w:hAnsi="Times New Roman" w:cs="Times New Roman"/>
          <w:b/>
          <w:bCs/>
          <w:color w:val="00FFCC"/>
          <w:kern w:val="24"/>
          <w:position w:val="1"/>
          <w:sz w:val="56"/>
          <w:szCs w:val="56"/>
          <w:lang w:val="en-GB" w:eastAsia="pl-PL"/>
        </w:rPr>
      </w:pPr>
    </w:p>
    <w:p w14:paraId="7AA019FA" w14:textId="77777777" w:rsidR="00040F5F" w:rsidRPr="008C1EAE" w:rsidRDefault="00040F5F"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p>
    <w:p w14:paraId="6B117817" w14:textId="77777777" w:rsidR="00AD6E49" w:rsidRPr="008C1EAE" w:rsidRDefault="00AD6E49"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r w:rsidRPr="008C1EAE">
        <w:rPr>
          <w:rFonts w:ascii="Times New Roman" w:eastAsiaTheme="minorEastAsia" w:hAnsi="Times New Roman" w:cs="Times New Roman"/>
          <w:b/>
          <w:bCs/>
          <w:color w:val="8DD873" w:themeColor="accent6" w:themeTint="99"/>
          <w:kern w:val="24"/>
          <w:position w:val="1"/>
          <w:sz w:val="56"/>
          <w:szCs w:val="56"/>
          <w:lang w:val="es" w:eastAsia="pl-PL"/>
        </w:rPr>
        <w:t>Glosario</w:t>
      </w:r>
    </w:p>
    <w:p w14:paraId="1838F654" w14:textId="77777777" w:rsidR="00040F5F" w:rsidRPr="008C1EAE" w:rsidRDefault="00040F5F" w:rsidP="00040F5F">
      <w:pPr>
        <w:spacing w:after="0" w:line="520" w:lineRule="exact"/>
        <w:jc w:val="center"/>
        <w:rPr>
          <w:rFonts w:ascii="Times New Roman" w:eastAsia="Times New Roman" w:hAnsi="Times New Roman" w:cs="Times New Roman"/>
          <w:color w:val="8DD873" w:themeColor="accent6" w:themeTint="99"/>
          <w:sz w:val="24"/>
          <w:szCs w:val="24"/>
          <w:lang w:val="en-GB" w:eastAsia="pl-PL"/>
        </w:rPr>
      </w:pPr>
    </w:p>
    <w:tbl>
      <w:tblPr>
        <w:tblStyle w:val="Tablaconcuadrcula"/>
        <w:tblW w:w="976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95"/>
        <w:gridCol w:w="1236"/>
        <w:gridCol w:w="5615"/>
        <w:gridCol w:w="616"/>
      </w:tblGrid>
      <w:tr w:rsidR="002A67F8" w:rsidRPr="008C1EAE" w14:paraId="54E40605" w14:textId="77777777" w:rsidTr="2C6C7817">
        <w:tc>
          <w:tcPr>
            <w:tcW w:w="2062" w:type="dxa"/>
          </w:tcPr>
          <w:p w14:paraId="5C4EC49D" w14:textId="77777777" w:rsidR="002A67F8" w:rsidRPr="008C1EAE" w:rsidRDefault="002A67F8" w:rsidP="002A67F8">
            <w:pPr>
              <w:jc w:val="center"/>
              <w:rPr>
                <w:rFonts w:ascii="Times New Roman" w:hAnsi="Times New Roman" w:cs="Times New Roman"/>
                <w:b/>
                <w:color w:val="3A7C22" w:themeColor="accent6" w:themeShade="BF"/>
                <w:lang w:val="en-GB"/>
              </w:rPr>
            </w:pPr>
          </w:p>
        </w:tc>
        <w:tc>
          <w:tcPr>
            <w:tcW w:w="1469" w:type="dxa"/>
          </w:tcPr>
          <w:p w14:paraId="54D99B8B" w14:textId="77777777" w:rsidR="002A67F8" w:rsidRPr="008C1EAE" w:rsidRDefault="002A67F8" w:rsidP="002A67F8">
            <w:pPr>
              <w:jc w:val="center"/>
              <w:rPr>
                <w:rFonts w:ascii="Times New Roman" w:hAnsi="Times New Roman" w:cs="Times New Roman"/>
                <w:lang w:val="en-GB"/>
              </w:rPr>
            </w:pPr>
          </w:p>
        </w:tc>
        <w:tc>
          <w:tcPr>
            <w:tcW w:w="5615" w:type="dxa"/>
          </w:tcPr>
          <w:p w14:paraId="3B30FB8A" w14:textId="77777777" w:rsidR="002A67F8" w:rsidRPr="008C1EAE" w:rsidRDefault="002A67F8" w:rsidP="002A67F8">
            <w:pPr>
              <w:jc w:val="center"/>
              <w:rPr>
                <w:rFonts w:ascii="Times New Roman" w:hAnsi="Times New Roman" w:cs="Times New Roman"/>
                <w:lang w:val="en-GB"/>
              </w:rPr>
            </w:pPr>
          </w:p>
        </w:tc>
        <w:tc>
          <w:tcPr>
            <w:tcW w:w="616" w:type="dxa"/>
          </w:tcPr>
          <w:p w14:paraId="612EA104" w14:textId="77777777" w:rsidR="002A67F8" w:rsidRPr="008C1EAE" w:rsidRDefault="002A67F8" w:rsidP="002A67F8">
            <w:pPr>
              <w:jc w:val="center"/>
              <w:rPr>
                <w:rFonts w:ascii="Times New Roman" w:hAnsi="Times New Roman" w:cs="Times New Roman"/>
                <w:lang w:val="en-GB"/>
              </w:rPr>
            </w:pPr>
          </w:p>
        </w:tc>
      </w:tr>
      <w:tr w:rsidR="008C1EAE" w:rsidRPr="008C1EAE" w14:paraId="3999457C" w14:textId="77777777" w:rsidTr="2C6C7817">
        <w:tc>
          <w:tcPr>
            <w:tcW w:w="2062" w:type="dxa"/>
          </w:tcPr>
          <w:p w14:paraId="2ACE846A" w14:textId="77777777" w:rsidR="008C1EAE" w:rsidRPr="008C1EAE" w:rsidRDefault="008C1EAE" w:rsidP="00A655ED">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Accesibilidad</w:t>
            </w:r>
          </w:p>
        </w:tc>
        <w:tc>
          <w:tcPr>
            <w:tcW w:w="1469" w:type="dxa"/>
          </w:tcPr>
          <w:p w14:paraId="4FBA9EAA" w14:textId="77777777" w:rsidR="008C1EAE" w:rsidRPr="008C1EAE" w:rsidRDefault="008C1EAE" w:rsidP="00A655ED">
            <w:pPr>
              <w:jc w:val="both"/>
              <w:rPr>
                <w:rFonts w:ascii="Times New Roman" w:hAnsi="Times New Roman" w:cs="Times New Roman"/>
                <w:lang w:val="en-GB"/>
              </w:rPr>
            </w:pPr>
          </w:p>
        </w:tc>
        <w:tc>
          <w:tcPr>
            <w:tcW w:w="5615" w:type="dxa"/>
          </w:tcPr>
          <w:p w14:paraId="4565B686"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El diseño de productos, dispositivos, servicios o entornos para personas con discapacidad. Comprende la facilidad con que las personas pueden acceder a distintos recursos y beneficiarse de ellos, incluidos los espacios físicos, los contenidos digitales y los servicios de información. El objetivo de la accesibilidad es garantizar que todas las personas, independientemente de sus capacidades o discapacidades, tengan las mismas oportunidades a la hora de participar en la sociedad. En un sentido más amplio, comprende la usabilidad de entornos y servicios por parte de personas con necesidades diversas. Este concepto es fundamental en distintos campos, como la arquitectura, el diseño web, la educación y las políticas públicas.</w:t>
            </w:r>
          </w:p>
        </w:tc>
        <w:tc>
          <w:tcPr>
            <w:tcW w:w="616" w:type="dxa"/>
          </w:tcPr>
          <w:p w14:paraId="6A18198E"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30</w:t>
            </w:r>
          </w:p>
        </w:tc>
      </w:tr>
      <w:tr w:rsidR="008C1EAE" w:rsidRPr="008C1EAE" w14:paraId="378ECBFB" w14:textId="77777777" w:rsidTr="2C6C7817">
        <w:tc>
          <w:tcPr>
            <w:tcW w:w="2062" w:type="dxa"/>
          </w:tcPr>
          <w:p w14:paraId="480B8B46" w14:textId="77777777" w:rsidR="008C1EAE" w:rsidRPr="008C1EAE" w:rsidRDefault="008C1EAE" w:rsidP="4F734429">
            <w:pPr>
              <w:rPr>
                <w:rFonts w:ascii="Times New Roman" w:hAnsi="Times New Roman" w:cs="Times New Roman"/>
                <w:b/>
                <w:bCs/>
                <w:color w:val="3A7C22" w:themeColor="accent6" w:themeShade="BF"/>
                <w:lang w:val="en-GB"/>
              </w:rPr>
            </w:pPr>
            <w:r w:rsidRPr="008C1EAE">
              <w:rPr>
                <w:rFonts w:ascii="Times New Roman" w:hAnsi="Times New Roman" w:cs="Times New Roman"/>
                <w:b/>
                <w:bCs/>
                <w:color w:val="3A7C22" w:themeColor="accent6" w:themeShade="BF"/>
                <w:lang w:val="es"/>
              </w:rPr>
              <w:t>Acidificación</w:t>
            </w:r>
          </w:p>
        </w:tc>
        <w:tc>
          <w:tcPr>
            <w:tcW w:w="1469" w:type="dxa"/>
          </w:tcPr>
          <w:p w14:paraId="7DEAE57A" w14:textId="77777777" w:rsidR="008C1EAE" w:rsidRPr="008C1EAE" w:rsidRDefault="008C1EAE" w:rsidP="002A67F8">
            <w:pPr>
              <w:jc w:val="both"/>
              <w:rPr>
                <w:rFonts w:ascii="Times New Roman" w:hAnsi="Times New Roman" w:cs="Times New Roman"/>
                <w:lang w:val="en-GB"/>
              </w:rPr>
            </w:pPr>
          </w:p>
        </w:tc>
        <w:tc>
          <w:tcPr>
            <w:tcW w:w="5615" w:type="dxa"/>
          </w:tcPr>
          <w:p w14:paraId="37726C7C" w14:textId="77777777" w:rsidR="008C1EAE" w:rsidRPr="008C1EAE" w:rsidRDefault="008C1EAE" w:rsidP="002A67F8">
            <w:pPr>
              <w:jc w:val="both"/>
              <w:rPr>
                <w:rFonts w:ascii="Times New Roman" w:hAnsi="Times New Roman" w:cs="Times New Roman"/>
                <w:lang w:val="es-ES"/>
              </w:rPr>
            </w:pPr>
            <w:bookmarkStart w:id="0" w:name="_Hlk187700470"/>
            <w:r w:rsidRPr="008C1EAE">
              <w:rPr>
                <w:rFonts w:ascii="Times New Roman" w:hAnsi="Times New Roman" w:cs="Times New Roman"/>
                <w:lang w:val="es"/>
              </w:rPr>
              <w:t>El proceso por el cual la concentración de iones de hidrógeno en el suelo aumenta gradualmente, causado por la extracción de iones ligeramente alcalinos con el cultivo, la lixiviación y la aplicación de tipos de fertilizantes nitrogenados (N) acidificantes. Este proceso se ve acelerado o insuficientemente compensado por los componentes naturales del suelo, incluido el material parental.</w:t>
            </w:r>
            <w:bookmarkEnd w:id="0"/>
          </w:p>
        </w:tc>
        <w:tc>
          <w:tcPr>
            <w:tcW w:w="616" w:type="dxa"/>
          </w:tcPr>
          <w:p w14:paraId="3BB8B1EE"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w:t>
            </w:r>
          </w:p>
        </w:tc>
      </w:tr>
      <w:tr w:rsidR="008C1EAE" w:rsidRPr="008C1EAE" w14:paraId="45D16A96" w14:textId="77777777" w:rsidTr="2C6C7817">
        <w:tc>
          <w:tcPr>
            <w:tcW w:w="2062" w:type="dxa"/>
          </w:tcPr>
          <w:p w14:paraId="7C3431D3" w14:textId="77777777" w:rsidR="008C1EAE" w:rsidRPr="008C1EAE" w:rsidRDefault="008C1EAE" w:rsidP="4F734429">
            <w:pPr>
              <w:rPr>
                <w:rFonts w:ascii="Times New Roman" w:hAnsi="Times New Roman" w:cs="Times New Roman"/>
                <w:b/>
                <w:bCs/>
                <w:color w:val="3A7C22" w:themeColor="accent6" w:themeShade="BF"/>
                <w:lang w:val="en-GB"/>
              </w:rPr>
            </w:pPr>
            <w:r w:rsidRPr="008C1EAE">
              <w:rPr>
                <w:rFonts w:ascii="Times New Roman" w:hAnsi="Times New Roman" w:cs="Times New Roman"/>
                <w:b/>
                <w:bCs/>
                <w:color w:val="3A7C22" w:themeColor="accent6" w:themeShade="BF"/>
                <w:lang w:val="es"/>
              </w:rPr>
              <w:t>Adsorción</w:t>
            </w:r>
          </w:p>
        </w:tc>
        <w:tc>
          <w:tcPr>
            <w:tcW w:w="1469" w:type="dxa"/>
          </w:tcPr>
          <w:p w14:paraId="79685D17" w14:textId="77777777" w:rsidR="008C1EAE" w:rsidRPr="008C1EAE" w:rsidRDefault="008C1EAE" w:rsidP="002A67F8">
            <w:pPr>
              <w:jc w:val="both"/>
              <w:rPr>
                <w:rFonts w:ascii="Times New Roman" w:hAnsi="Times New Roman" w:cs="Times New Roman"/>
                <w:lang w:val="en-GB"/>
              </w:rPr>
            </w:pPr>
          </w:p>
        </w:tc>
        <w:tc>
          <w:tcPr>
            <w:tcW w:w="5615" w:type="dxa"/>
          </w:tcPr>
          <w:p w14:paraId="33C83BDC"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Proceso mediante el cual átomos, moléculas o iones quedan retenidos en las superficies de sólidos por medio de enlaces químicos o físicos. La absorción se basa en la absorción de vapores, gases y moléculas no disociadas.</w:t>
            </w:r>
          </w:p>
        </w:tc>
        <w:tc>
          <w:tcPr>
            <w:tcW w:w="616" w:type="dxa"/>
          </w:tcPr>
          <w:p w14:paraId="23AD2E2E"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w:t>
            </w:r>
          </w:p>
        </w:tc>
      </w:tr>
      <w:tr w:rsidR="008C1EAE" w:rsidRPr="008C1EAE" w14:paraId="23732579" w14:textId="77777777" w:rsidTr="2C6C7817">
        <w:tc>
          <w:tcPr>
            <w:tcW w:w="2062" w:type="dxa"/>
          </w:tcPr>
          <w:p w14:paraId="0DF2C819" w14:textId="77777777" w:rsidR="008C1EAE" w:rsidRPr="008C1EAE" w:rsidRDefault="008C1EAE" w:rsidP="002A67F8">
            <w:pPr>
              <w:rPr>
                <w:rFonts w:ascii="Times New Roman" w:hAnsi="Times New Roman" w:cs="Times New Roman"/>
                <w:b/>
                <w:color w:val="3A7C22" w:themeColor="accent6" w:themeShade="BF"/>
                <w:lang w:val="es-ES"/>
              </w:rPr>
            </w:pPr>
            <w:r w:rsidRPr="008C1EAE">
              <w:rPr>
                <w:rFonts w:ascii="Times New Roman" w:hAnsi="Times New Roman" w:cs="Times New Roman"/>
                <w:b/>
                <w:color w:val="3A7C22" w:themeColor="accent6" w:themeShade="BF"/>
                <w:lang w:val="es"/>
              </w:rPr>
              <w:t>Agentes del conocimiento y la educación</w:t>
            </w:r>
          </w:p>
        </w:tc>
        <w:tc>
          <w:tcPr>
            <w:tcW w:w="1469" w:type="dxa"/>
          </w:tcPr>
          <w:p w14:paraId="35F32520" w14:textId="77777777" w:rsidR="008C1EAE" w:rsidRPr="008C1EAE" w:rsidRDefault="008C1EAE" w:rsidP="00525540">
            <w:pPr>
              <w:jc w:val="both"/>
              <w:rPr>
                <w:rFonts w:ascii="Times New Roman" w:hAnsi="Times New Roman" w:cs="Times New Roman"/>
                <w:lang w:val="es-ES"/>
              </w:rPr>
            </w:pPr>
          </w:p>
        </w:tc>
        <w:tc>
          <w:tcPr>
            <w:tcW w:w="5615" w:type="dxa"/>
          </w:tcPr>
          <w:p w14:paraId="4BE3FF63"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Este grupo está formado por instituciones académicas y de investigación orientadas a las ciencias del suelo, la agricultura, la silvicultura o los estudios medioambientales, cuyo objetivo es generar nuevos conocimientos y comprensión relacionados con cuestiones de gobernanza del suelo, incluida la salud del suelo, el uso sostenible de la tierra y las prácticas de conservación, a través de la investigación, la educación y la divulgación.</w:t>
            </w:r>
          </w:p>
          <w:p w14:paraId="04C94CBD"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Por ejemplo, científicos, académicos, investigadores y estudiantes de universidades, instituciones de investigación, proveedores de educación secundaria, organizaciones de la sociedad civil, etc.</w:t>
            </w:r>
          </w:p>
        </w:tc>
        <w:tc>
          <w:tcPr>
            <w:tcW w:w="616" w:type="dxa"/>
          </w:tcPr>
          <w:p w14:paraId="3991A4FC"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2</w:t>
            </w:r>
          </w:p>
        </w:tc>
      </w:tr>
      <w:tr w:rsidR="008C1EAE" w:rsidRPr="008C1EAE" w14:paraId="040BDF00" w14:textId="77777777" w:rsidTr="2C6C7817">
        <w:tc>
          <w:tcPr>
            <w:tcW w:w="2062" w:type="dxa"/>
          </w:tcPr>
          <w:p w14:paraId="13716934"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Agotamiento</w:t>
            </w:r>
          </w:p>
        </w:tc>
        <w:tc>
          <w:tcPr>
            <w:tcW w:w="1469" w:type="dxa"/>
          </w:tcPr>
          <w:p w14:paraId="00DDA5FE" w14:textId="77777777" w:rsidR="008C1EAE" w:rsidRPr="008C1EAE" w:rsidRDefault="008C1EAE" w:rsidP="002A67F8">
            <w:pPr>
              <w:jc w:val="both"/>
              <w:rPr>
                <w:rFonts w:ascii="Times New Roman" w:hAnsi="Times New Roman" w:cs="Times New Roman"/>
                <w:lang w:val="en-GB"/>
              </w:rPr>
            </w:pPr>
          </w:p>
        </w:tc>
        <w:tc>
          <w:tcPr>
            <w:tcW w:w="5615" w:type="dxa"/>
          </w:tcPr>
          <w:p w14:paraId="5235BA4B"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La disminución gradual de las reservas de nutrientes y materia orgánica de los suelos.</w:t>
            </w:r>
          </w:p>
        </w:tc>
        <w:tc>
          <w:tcPr>
            <w:tcW w:w="616" w:type="dxa"/>
          </w:tcPr>
          <w:p w14:paraId="7238B1DA"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42C53A27" w14:textId="77777777" w:rsidTr="2C6C7817">
        <w:tc>
          <w:tcPr>
            <w:tcW w:w="2062" w:type="dxa"/>
          </w:tcPr>
          <w:p w14:paraId="5676BE91"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Agregados del suelo</w:t>
            </w:r>
          </w:p>
        </w:tc>
        <w:tc>
          <w:tcPr>
            <w:tcW w:w="1469" w:type="dxa"/>
          </w:tcPr>
          <w:p w14:paraId="2479AA07" w14:textId="77777777" w:rsidR="008C1EAE" w:rsidRPr="008C1EAE" w:rsidRDefault="008C1EAE" w:rsidP="00525540">
            <w:pPr>
              <w:jc w:val="both"/>
              <w:rPr>
                <w:rFonts w:ascii="Times New Roman" w:hAnsi="Times New Roman" w:cs="Times New Roman"/>
                <w:lang w:val="en-GB"/>
              </w:rPr>
            </w:pPr>
          </w:p>
        </w:tc>
        <w:tc>
          <w:tcPr>
            <w:tcW w:w="5615" w:type="dxa"/>
          </w:tcPr>
          <w:p w14:paraId="6A7C90DA"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 xml:space="preserve">Los agregados del suelo están formados por dos o más partículas de suelo unidas por varias fuerzas. Los agregados del suelo son </w:t>
            </w:r>
            <w:r w:rsidRPr="008A5BFA">
              <w:rPr>
                <w:rFonts w:ascii="Times New Roman" w:hAnsi="Times New Roman" w:cs="Times New Roman"/>
                <w:i/>
                <w:iCs/>
                <w:lang w:val="es"/>
              </w:rPr>
              <w:t>peds</w:t>
            </w:r>
            <w:r w:rsidRPr="008C1EAE">
              <w:rPr>
                <w:rFonts w:ascii="Times New Roman" w:hAnsi="Times New Roman" w:cs="Times New Roman"/>
                <w:lang w:val="es"/>
              </w:rPr>
              <w:t xml:space="preserve"> de suelo de diferentes formas y tamaños.</w:t>
            </w:r>
          </w:p>
        </w:tc>
        <w:tc>
          <w:tcPr>
            <w:tcW w:w="616" w:type="dxa"/>
          </w:tcPr>
          <w:p w14:paraId="47CDF1E2"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w:t>
            </w:r>
          </w:p>
        </w:tc>
      </w:tr>
      <w:tr w:rsidR="008C1EAE" w:rsidRPr="008C1EAE" w14:paraId="5FE62197" w14:textId="77777777" w:rsidTr="2C6C7817">
        <w:tc>
          <w:tcPr>
            <w:tcW w:w="2062" w:type="dxa"/>
          </w:tcPr>
          <w:p w14:paraId="2354B5D9"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Agricultura</w:t>
            </w:r>
          </w:p>
        </w:tc>
        <w:tc>
          <w:tcPr>
            <w:tcW w:w="1469" w:type="dxa"/>
          </w:tcPr>
          <w:p w14:paraId="03D10AD8" w14:textId="77777777" w:rsidR="008C1EAE" w:rsidRPr="008C1EAE" w:rsidRDefault="008C1EAE" w:rsidP="002A67F8">
            <w:pPr>
              <w:jc w:val="both"/>
              <w:rPr>
                <w:rFonts w:ascii="Times New Roman" w:hAnsi="Times New Roman" w:cs="Times New Roman"/>
                <w:lang w:val="en-GB"/>
              </w:rPr>
            </w:pPr>
          </w:p>
        </w:tc>
        <w:tc>
          <w:tcPr>
            <w:tcW w:w="5615" w:type="dxa"/>
          </w:tcPr>
          <w:p w14:paraId="0599BF1D"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color w:val="404040" w:themeColor="text1" w:themeTint="BF"/>
                <w:lang w:val="es"/>
              </w:rPr>
              <w:t xml:space="preserve">La agricultura hace referencia a la ciencia, el arte y la práctica de cultivar plantas y criar animales para obtener alimentos, fibras, plantas medicinales y otros productos utilizados para mantener y mejorar la vida humana. Engloba una gran </w:t>
            </w:r>
            <w:r w:rsidRPr="008C1EAE">
              <w:rPr>
                <w:rFonts w:ascii="Times New Roman" w:hAnsi="Times New Roman" w:cs="Times New Roman"/>
                <w:color w:val="404040" w:themeColor="text1" w:themeTint="BF"/>
                <w:lang w:val="es"/>
              </w:rPr>
              <w:lastRenderedPageBreak/>
              <w:t>variedad de actividades, como la preparación del suelo, la siembra, el riego, el control de plagas, la cosecha y la gestión del ganado. La agricultura es un componente fundamental de la civilización humana, ya que proporciona la principal fuente de alimentos y materias primas para las industrias. También juega un papel fundamental en el desarrollo económico, la gestión medioambiental y las prácticas culturales.</w:t>
            </w:r>
          </w:p>
        </w:tc>
        <w:tc>
          <w:tcPr>
            <w:tcW w:w="616" w:type="dxa"/>
          </w:tcPr>
          <w:p w14:paraId="76456950"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lastRenderedPageBreak/>
              <w:t>38</w:t>
            </w:r>
          </w:p>
        </w:tc>
      </w:tr>
      <w:tr w:rsidR="008C1EAE" w:rsidRPr="008C1EAE" w14:paraId="3674F28A" w14:textId="77777777" w:rsidTr="2C6C7817">
        <w:tc>
          <w:tcPr>
            <w:tcW w:w="2062" w:type="dxa"/>
          </w:tcPr>
          <w:p w14:paraId="1AA37DB1"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Agricultura convencional</w:t>
            </w:r>
          </w:p>
        </w:tc>
        <w:tc>
          <w:tcPr>
            <w:tcW w:w="1469" w:type="dxa"/>
          </w:tcPr>
          <w:p w14:paraId="0D19AEFE" w14:textId="77777777" w:rsidR="008C1EAE" w:rsidRPr="008C1EAE" w:rsidRDefault="008C1EAE" w:rsidP="002A67F8">
            <w:pPr>
              <w:jc w:val="both"/>
              <w:rPr>
                <w:rFonts w:ascii="Times New Roman" w:hAnsi="Times New Roman" w:cs="Times New Roman"/>
                <w:lang w:val="en-GB"/>
              </w:rPr>
            </w:pPr>
          </w:p>
        </w:tc>
        <w:tc>
          <w:tcPr>
            <w:tcW w:w="5615" w:type="dxa"/>
          </w:tcPr>
          <w:p w14:paraId="2D5B08E3"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Un método de cultivo que incluye el uso de fertilizantes químicos sintéticos, pesticidas y herbicidas (y, a veces, organismos modificados genéticamente), para maximizar el rendimiento de los cultivos, lo que permite que este tipo de explotaciones dependan menos de las prácticas culturales (rotación de cultivos, inclusión de cultivos fijadores de N atmosférico), biológicas y mecánicas que fomentan el ciclo de los recursos, promueven el equilibrio ecológico y conservan la biodiversidad. A menudo implica el monocultivo a gran escala (un solo cultivo en una gran superficie) y prácticas mecanizadas para agilizar las operaciones y reducir los costes de la mano de obra.</w:t>
            </w:r>
          </w:p>
        </w:tc>
        <w:tc>
          <w:tcPr>
            <w:tcW w:w="616" w:type="dxa"/>
          </w:tcPr>
          <w:p w14:paraId="1870B24D"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4, 44</w:t>
            </w:r>
          </w:p>
        </w:tc>
      </w:tr>
      <w:tr w:rsidR="008C1EAE" w:rsidRPr="008C1EAE" w14:paraId="7FD75C9E" w14:textId="77777777" w:rsidTr="2C6C7817">
        <w:tc>
          <w:tcPr>
            <w:tcW w:w="2062" w:type="dxa"/>
          </w:tcPr>
          <w:p w14:paraId="3F89654F"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Agricultura de conservación</w:t>
            </w:r>
          </w:p>
        </w:tc>
        <w:tc>
          <w:tcPr>
            <w:tcW w:w="1469" w:type="dxa"/>
          </w:tcPr>
          <w:p w14:paraId="150064FD" w14:textId="77777777" w:rsidR="008C1EAE" w:rsidRPr="008C1EAE" w:rsidRDefault="008C1EAE" w:rsidP="002A67F8">
            <w:pPr>
              <w:jc w:val="both"/>
              <w:rPr>
                <w:rFonts w:ascii="Times New Roman" w:hAnsi="Times New Roman" w:cs="Times New Roman"/>
                <w:lang w:val="en-GB"/>
              </w:rPr>
            </w:pPr>
          </w:p>
        </w:tc>
        <w:tc>
          <w:tcPr>
            <w:tcW w:w="5615" w:type="dxa"/>
          </w:tcPr>
          <w:p w14:paraId="4B2EF6DB"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Un método de cultivo que incluye la alteración mínima del suelo (sin laboreo, laboreo mínimo, laboreo reducido, laboreo en bandas o siembra directa), la rotación de cultivos y la cobertura permanente del suelo (</w:t>
            </w:r>
            <w:hyperlink r:id="rId11" w:history="1">
              <w:r w:rsidRPr="008C1EAE">
                <w:rPr>
                  <w:rStyle w:val="Hipervnculo"/>
                  <w:rFonts w:ascii="Times New Roman" w:hAnsi="Times New Roman" w:cs="Times New Roman"/>
                  <w:lang w:val="es"/>
                </w:rPr>
                <w:t>http://www.fao.org/ag/ca/</w:t>
              </w:r>
            </w:hyperlink>
            <w:r w:rsidRPr="008C1EAE">
              <w:rPr>
                <w:rFonts w:ascii="Times New Roman" w:hAnsi="Times New Roman" w:cs="Times New Roman"/>
                <w:lang w:val="es"/>
              </w:rPr>
              <w:t xml:space="preserve"> ).</w:t>
            </w:r>
          </w:p>
        </w:tc>
        <w:tc>
          <w:tcPr>
            <w:tcW w:w="616" w:type="dxa"/>
          </w:tcPr>
          <w:p w14:paraId="63C10B32"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788C271D" w14:textId="77777777" w:rsidTr="2C6C7817">
        <w:tc>
          <w:tcPr>
            <w:tcW w:w="2062" w:type="dxa"/>
          </w:tcPr>
          <w:p w14:paraId="04092957" w14:textId="77777777" w:rsidR="008C1EAE" w:rsidRPr="008C1EAE" w:rsidRDefault="008C1EAE" w:rsidP="00A655ED">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Agricultura independiente del suelo</w:t>
            </w:r>
          </w:p>
        </w:tc>
        <w:tc>
          <w:tcPr>
            <w:tcW w:w="1469" w:type="dxa"/>
          </w:tcPr>
          <w:p w14:paraId="6E839F88" w14:textId="77777777" w:rsidR="008C1EAE" w:rsidRPr="008C1EAE" w:rsidRDefault="008C1EAE" w:rsidP="00A655ED">
            <w:pPr>
              <w:jc w:val="both"/>
              <w:rPr>
                <w:rFonts w:ascii="Times New Roman" w:hAnsi="Times New Roman" w:cs="Times New Roman"/>
                <w:lang w:val="en-GB"/>
              </w:rPr>
            </w:pPr>
          </w:p>
        </w:tc>
        <w:tc>
          <w:tcPr>
            <w:tcW w:w="5615" w:type="dxa"/>
          </w:tcPr>
          <w:p w14:paraId="4A8C15B3"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Un método de agricultura que no se basa en el cultivo tradicional basado en el suelo. Este enfoque utiliza otros medios de cultivo, como la hidroponía, la aeroponía o la acuaponía, para producir cultivos. El objetivo de la agricultura independiente del suelo es optimizar el uso de los recursos, minimizar la degradación de la tierra y mejorar la producción de alimentos en entornos urbanos o áridos en los que es posible que la calidad del suelo sea deficiente o inexistente. Este método a menudo hace énfasis en la sostenibilidad, la eficiencia y la capacidad de controlar los factores medioambientales para lograr un mayor rendimiento de los cultivos.</w:t>
            </w:r>
          </w:p>
        </w:tc>
        <w:tc>
          <w:tcPr>
            <w:tcW w:w="616" w:type="dxa"/>
          </w:tcPr>
          <w:p w14:paraId="7B294014"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33</w:t>
            </w:r>
          </w:p>
        </w:tc>
      </w:tr>
      <w:tr w:rsidR="008C1EAE" w:rsidRPr="008C1EAE" w14:paraId="3819E572" w14:textId="77777777" w:rsidTr="2C6C7817">
        <w:tc>
          <w:tcPr>
            <w:tcW w:w="2062" w:type="dxa"/>
          </w:tcPr>
          <w:p w14:paraId="33C57A73"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Agricultura orgánica</w:t>
            </w:r>
          </w:p>
        </w:tc>
        <w:tc>
          <w:tcPr>
            <w:tcW w:w="1469" w:type="dxa"/>
          </w:tcPr>
          <w:p w14:paraId="39F74B72" w14:textId="77777777" w:rsidR="008C1EAE" w:rsidRPr="008C1EAE" w:rsidRDefault="008C1EAE" w:rsidP="00525540">
            <w:pPr>
              <w:jc w:val="both"/>
              <w:rPr>
                <w:rFonts w:ascii="Times New Roman" w:hAnsi="Times New Roman" w:cs="Times New Roman"/>
                <w:lang w:val="en-GB"/>
              </w:rPr>
            </w:pPr>
          </w:p>
        </w:tc>
        <w:tc>
          <w:tcPr>
            <w:tcW w:w="5615" w:type="dxa"/>
          </w:tcPr>
          <w:p w14:paraId="5F161AB2"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El sistema de producción que evita los productos químicos sintéticos y fomenta las prácticas naturales para cultivar y criar ganado. Prioriza la salud del suelo y ambiental, a la vez que evita los organismos genéticamente modificados (OGM), los pesticidas sintéticos y los antibióticos. Se basa en procesos ecológicos, biodiversidad y ciclos adaptados a las condiciones locales, y no en el uso de insumos con efectos adversos.</w:t>
            </w:r>
          </w:p>
        </w:tc>
        <w:tc>
          <w:tcPr>
            <w:tcW w:w="616" w:type="dxa"/>
          </w:tcPr>
          <w:p w14:paraId="6E0B0709"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w:t>
            </w:r>
          </w:p>
        </w:tc>
      </w:tr>
      <w:tr w:rsidR="008C1EAE" w:rsidRPr="008C1EAE" w14:paraId="018F9AAF" w14:textId="77777777" w:rsidTr="2C6C7817">
        <w:tc>
          <w:tcPr>
            <w:tcW w:w="2062" w:type="dxa"/>
          </w:tcPr>
          <w:p w14:paraId="548425F2" w14:textId="77777777" w:rsidR="008C1EAE" w:rsidRPr="008C1EAE" w:rsidRDefault="008C1EAE" w:rsidP="00A655ED">
            <w:pPr>
              <w:rPr>
                <w:rFonts w:ascii="Times New Roman" w:hAnsi="Times New Roman" w:cs="Times New Roman"/>
                <w:b/>
                <w:color w:val="BF4E14" w:themeColor="accent2" w:themeShade="BF"/>
                <w:lang w:val="en-GB"/>
              </w:rPr>
            </w:pPr>
            <w:r w:rsidRPr="008C1EAE">
              <w:rPr>
                <w:rFonts w:ascii="Times New Roman" w:hAnsi="Times New Roman" w:cs="Times New Roman"/>
                <w:b/>
                <w:color w:val="3A7C22" w:themeColor="accent6" w:themeShade="BF"/>
                <w:lang w:val="es"/>
              </w:rPr>
              <w:t>Agricultura regenerativa</w:t>
            </w:r>
          </w:p>
        </w:tc>
        <w:tc>
          <w:tcPr>
            <w:tcW w:w="1469" w:type="dxa"/>
          </w:tcPr>
          <w:p w14:paraId="6CB0A574" w14:textId="77777777" w:rsidR="008C1EAE" w:rsidRPr="008C1EAE" w:rsidRDefault="008C1EAE" w:rsidP="00A655ED">
            <w:pPr>
              <w:jc w:val="both"/>
              <w:rPr>
                <w:rFonts w:ascii="Times New Roman" w:hAnsi="Times New Roman" w:cs="Times New Roman"/>
                <w:lang w:val="en-GB"/>
              </w:rPr>
            </w:pPr>
          </w:p>
        </w:tc>
        <w:tc>
          <w:tcPr>
            <w:tcW w:w="5615" w:type="dxa"/>
          </w:tcPr>
          <w:p w14:paraId="4FC84C99"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El enfoque científico de la agricultura y la gestión de la tierra se centra en restaurar y mejorar la salud del suelo, la biodiversidad y las funciones de los ecosistemas, a la vez que mejora la productividad agrícola y la resiliencia. Emplea prácticas que regeneran activamente los suelos y ecosistemas degradados, creando un ciclo de retroalimentación positiva que beneficia tanto al medioambiente como a los sistemas agrícolas. Subraya la interconexión del suelo, las plantas, los animales y los seres humanos, con el objetivo de crear un ciclo regenerativo que mejore los servicios de los ecosistemas y respalde la sostenibilidad agrícola a largo plazo.</w:t>
            </w:r>
          </w:p>
        </w:tc>
        <w:tc>
          <w:tcPr>
            <w:tcW w:w="616" w:type="dxa"/>
          </w:tcPr>
          <w:p w14:paraId="522F745B"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1, 41</w:t>
            </w:r>
          </w:p>
        </w:tc>
      </w:tr>
      <w:tr w:rsidR="008C1EAE" w:rsidRPr="008C1EAE" w14:paraId="6904D3DC" w14:textId="77777777" w:rsidTr="2C6C7817">
        <w:tc>
          <w:tcPr>
            <w:tcW w:w="2062" w:type="dxa"/>
          </w:tcPr>
          <w:p w14:paraId="7D2DD3F5"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Agroforestería</w:t>
            </w:r>
          </w:p>
        </w:tc>
        <w:tc>
          <w:tcPr>
            <w:tcW w:w="1469" w:type="dxa"/>
          </w:tcPr>
          <w:p w14:paraId="62295A89" w14:textId="77777777" w:rsidR="008C1EAE" w:rsidRPr="008C1EAE" w:rsidRDefault="008C1EAE" w:rsidP="002A67F8">
            <w:pPr>
              <w:jc w:val="both"/>
              <w:rPr>
                <w:rFonts w:ascii="Times New Roman" w:hAnsi="Times New Roman" w:cs="Times New Roman"/>
                <w:lang w:val="en-GB"/>
              </w:rPr>
            </w:pPr>
          </w:p>
        </w:tc>
        <w:tc>
          <w:tcPr>
            <w:tcW w:w="5615" w:type="dxa"/>
          </w:tcPr>
          <w:p w14:paraId="67831ACD"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 xml:space="preserve">Tipo de uso de la tierra que combina en la misma parcela la producción de actividades agrícolas anuales (como cultivos y </w:t>
            </w:r>
            <w:r w:rsidRPr="008C1EAE">
              <w:rPr>
                <w:rFonts w:ascii="Times New Roman" w:hAnsi="Times New Roman" w:cs="Times New Roman"/>
                <w:lang w:val="es"/>
              </w:rPr>
              <w:lastRenderedPageBreak/>
              <w:t>pastos) y la producción diferida a largo plazo de los árboles (por ejemplo, madera y servicios). Esto se consigue mediante la plantación de árboles en tierras agrícolas o el cultivo (por ejemplo, tras un aclareo) en tierras forestales. Las parcelas que combinan cultivos arables intercalados con árboles forestales se denominan parcelas silvoarables, mientras que las parcelas arboladas con pastos bajo la copa de los árboles se conocen como parcelas silvopastorales.</w:t>
            </w:r>
          </w:p>
        </w:tc>
        <w:tc>
          <w:tcPr>
            <w:tcW w:w="616" w:type="dxa"/>
          </w:tcPr>
          <w:p w14:paraId="2BA80CEE"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lastRenderedPageBreak/>
              <w:t>4</w:t>
            </w:r>
          </w:p>
        </w:tc>
      </w:tr>
      <w:tr w:rsidR="008C1EAE" w:rsidRPr="008C1EAE" w14:paraId="1A970BB7" w14:textId="77777777" w:rsidTr="2C6C7817">
        <w:tc>
          <w:tcPr>
            <w:tcW w:w="2062" w:type="dxa"/>
          </w:tcPr>
          <w:p w14:paraId="7940911C" w14:textId="77777777" w:rsidR="008C1EAE" w:rsidRPr="008C1EAE" w:rsidRDefault="008C1EAE" w:rsidP="002A67F8">
            <w:pPr>
              <w:rPr>
                <w:rFonts w:ascii="Times New Roman" w:hAnsi="Times New Roman" w:cs="Times New Roman"/>
                <w:b/>
                <w:color w:val="3A7C22" w:themeColor="accent6" w:themeShade="BF"/>
                <w:lang w:val="es-ES"/>
              </w:rPr>
            </w:pPr>
            <w:r w:rsidRPr="008C1EAE">
              <w:rPr>
                <w:rFonts w:ascii="Times New Roman" w:hAnsi="Times New Roman" w:cs="Times New Roman"/>
                <w:b/>
                <w:color w:val="3A7C22" w:themeColor="accent6" w:themeShade="BF"/>
                <w:lang w:val="es"/>
              </w:rPr>
              <w:t>Agua disponible para la planta</w:t>
            </w:r>
          </w:p>
        </w:tc>
        <w:tc>
          <w:tcPr>
            <w:tcW w:w="1469" w:type="dxa"/>
          </w:tcPr>
          <w:p w14:paraId="3D0BD87B" w14:textId="77777777" w:rsidR="008C1EAE" w:rsidRPr="008C1EAE" w:rsidRDefault="008C1EAE" w:rsidP="00525540">
            <w:pPr>
              <w:jc w:val="both"/>
              <w:rPr>
                <w:rFonts w:ascii="Times New Roman" w:hAnsi="Times New Roman" w:cs="Times New Roman"/>
                <w:lang w:val="es-ES"/>
              </w:rPr>
            </w:pPr>
          </w:p>
        </w:tc>
        <w:tc>
          <w:tcPr>
            <w:tcW w:w="5615" w:type="dxa"/>
          </w:tcPr>
          <w:p w14:paraId="0A7CC386"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 xml:space="preserve">La cantidad total de agua presente en la zona de las raíces que está disponible para la evapotranspiración. Es el agua retenida en el suelo entre los estados de capacidad de campo y punto de marchitamiento permanente. Normalmente se expresa en mm. Cuanta más agua disponible haya para las plantas, mayor será la productividad y la actividad biológica del suelo. </w:t>
            </w:r>
          </w:p>
          <w:p w14:paraId="6F65A12D"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Ilustración gráfica del efecto del tamaño del grano del suelo en la capacidad de agua disponible para las plantas según Hantley (2023; 5)</w:t>
            </w:r>
          </w:p>
          <w:p w14:paraId="28E52FB7" w14:textId="77777777" w:rsidR="008C1EAE" w:rsidRPr="008C1EAE" w:rsidRDefault="008C1EAE" w:rsidP="00525540">
            <w:pPr>
              <w:jc w:val="both"/>
              <w:rPr>
                <w:rFonts w:ascii="Times New Roman" w:hAnsi="Times New Roman" w:cs="Times New Roman"/>
                <w:lang w:val="es-ES"/>
              </w:rPr>
            </w:pPr>
          </w:p>
          <w:p w14:paraId="7B643666" w14:textId="77777777" w:rsidR="008C1EAE" w:rsidRPr="008C1EAE" w:rsidRDefault="008C1EAE" w:rsidP="00525540">
            <w:pPr>
              <w:jc w:val="both"/>
              <w:rPr>
                <w:rFonts w:ascii="Times New Roman" w:hAnsi="Times New Roman" w:cs="Times New Roman"/>
                <w:lang w:val="en-GB"/>
              </w:rPr>
            </w:pPr>
            <w:r w:rsidRPr="008C1EAE">
              <w:rPr>
                <w:rFonts w:ascii="Times New Roman" w:hAnsi="Times New Roman" w:cs="Times New Roman"/>
                <w:noProof/>
                <w:lang w:val="es"/>
              </w:rPr>
              <w:drawing>
                <wp:inline distT="0" distB="0" distL="0" distR="0" wp14:anchorId="7E4E58A0" wp14:editId="1EAAEFB5">
                  <wp:extent cx="3428736" cy="287918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8819" cy="2896051"/>
                          </a:xfrm>
                          <a:prstGeom prst="rect">
                            <a:avLst/>
                          </a:prstGeom>
                        </pic:spPr>
                      </pic:pic>
                    </a:graphicData>
                  </a:graphic>
                </wp:inline>
              </w:drawing>
            </w:r>
          </w:p>
          <w:p w14:paraId="4E87ECBA" w14:textId="77777777" w:rsidR="008C1EAE" w:rsidRPr="008C1EAE" w:rsidRDefault="008C1EAE" w:rsidP="00525540">
            <w:pPr>
              <w:jc w:val="both"/>
              <w:rPr>
                <w:rFonts w:ascii="Times New Roman" w:hAnsi="Times New Roman" w:cs="Times New Roman"/>
                <w:lang w:val="en-GB"/>
              </w:rPr>
            </w:pPr>
            <w:r w:rsidRPr="008C1EAE">
              <w:rPr>
                <w:rFonts w:ascii="Times New Roman" w:hAnsi="Times New Roman" w:cs="Times New Roman"/>
                <w:color w:val="000000" w:themeColor="text1"/>
                <w:shd w:val="clear" w:color="auto" w:fill="FFFFFF"/>
                <w:lang w:val="es"/>
              </w:rPr>
              <w:t xml:space="preserve">Fuente: Huntley (2023). Springer, Cham. </w:t>
            </w:r>
            <w:hyperlink r:id="rId13" w:history="1">
              <w:r w:rsidRPr="008C1EAE">
                <w:rPr>
                  <w:rStyle w:val="Hipervnculo"/>
                  <w:rFonts w:ascii="Times New Roman" w:hAnsi="Times New Roman" w:cs="Times New Roman"/>
                  <w:color w:val="000000" w:themeColor="text1"/>
                  <w:shd w:val="clear" w:color="auto" w:fill="FFFFFF"/>
                  <w:lang w:val="es"/>
                </w:rPr>
                <w:t>https://doi.org/10.1007/978-3-031-18923-4_6</w:t>
              </w:r>
            </w:hyperlink>
            <w:r w:rsidRPr="008C1EAE">
              <w:rPr>
                <w:rStyle w:val="Hipervnculo"/>
                <w:rFonts w:ascii="Times New Roman" w:hAnsi="Times New Roman" w:cs="Times New Roman"/>
                <w:color w:val="000000" w:themeColor="text1"/>
                <w:shd w:val="clear" w:color="auto" w:fill="FFFFFF"/>
                <w:lang w:val="es"/>
              </w:rPr>
              <w:t>,</w:t>
            </w:r>
            <w:r w:rsidRPr="008C1EAE">
              <w:rPr>
                <w:rStyle w:val="Hipervnculo"/>
                <w:color w:val="000000" w:themeColor="text1"/>
                <w:shd w:val="clear" w:color="auto" w:fill="FFFFFF"/>
                <w:lang w:val="es"/>
              </w:rPr>
              <w:t xml:space="preserve"> </w:t>
            </w:r>
            <w:hyperlink r:id="rId14" w:history="1">
              <w:r w:rsidRPr="008C1EAE">
                <w:rPr>
                  <w:rStyle w:val="Hipervnculo"/>
                  <w:rFonts w:ascii="Times New Roman" w:hAnsi="Times New Roman" w:cs="Times New Roman"/>
                  <w:lang w:val="es"/>
                </w:rPr>
                <w:t>https://link.springer.com/chapter/10.1007/978-3-031-18923-4_6/figures/4</w:t>
              </w:r>
            </w:hyperlink>
          </w:p>
        </w:tc>
        <w:tc>
          <w:tcPr>
            <w:tcW w:w="616" w:type="dxa"/>
          </w:tcPr>
          <w:p w14:paraId="4F917735"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3, 4, 5</w:t>
            </w:r>
          </w:p>
        </w:tc>
      </w:tr>
      <w:tr w:rsidR="008C1EAE" w:rsidRPr="008C1EAE" w14:paraId="55EBD35B" w14:textId="77777777" w:rsidTr="2C6C7817">
        <w:tc>
          <w:tcPr>
            <w:tcW w:w="2062" w:type="dxa"/>
          </w:tcPr>
          <w:p w14:paraId="2FA92EB1"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Agua freática</w:t>
            </w:r>
          </w:p>
        </w:tc>
        <w:tc>
          <w:tcPr>
            <w:tcW w:w="1469" w:type="dxa"/>
          </w:tcPr>
          <w:p w14:paraId="08711385" w14:textId="77777777" w:rsidR="008C1EAE" w:rsidRPr="008C1EAE" w:rsidRDefault="008C1EAE" w:rsidP="00525540">
            <w:pPr>
              <w:jc w:val="both"/>
              <w:rPr>
                <w:rFonts w:ascii="Times New Roman" w:hAnsi="Times New Roman" w:cs="Times New Roman"/>
                <w:lang w:val="en-GB"/>
              </w:rPr>
            </w:pPr>
          </w:p>
        </w:tc>
        <w:tc>
          <w:tcPr>
            <w:tcW w:w="5615" w:type="dxa"/>
          </w:tcPr>
          <w:p w14:paraId="75069946"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Agua dulce que se encuentra bajo la superficie terrestre y que llena de manera continua las cavidades de la corteza terrestre (como los poros, las grietas del suelo, la arena y las rocas), y abastece a pozos y manantiales, excluyendo el agua de la zona vadosa (no saturada). La definición se aplica a todos los depósitos de agua permanentes y temporales, formados tanto de forma artificial como natural, que tengan una calidad suficiente para un uso al menos estacional. Las reservas de agua freática se reponen o recargan a través de la lluvia y el deshielo, dependiendo de las condiciones climáticas. Por lo general, pueden extraerse de o a través de una formación subterránea.</w:t>
            </w:r>
          </w:p>
        </w:tc>
        <w:tc>
          <w:tcPr>
            <w:tcW w:w="616" w:type="dxa"/>
          </w:tcPr>
          <w:p w14:paraId="193308F8"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7D51C0E8" w14:textId="77777777" w:rsidTr="2C6C7817">
        <w:tc>
          <w:tcPr>
            <w:tcW w:w="2062" w:type="dxa"/>
          </w:tcPr>
          <w:p w14:paraId="53182BEA" w14:textId="77777777" w:rsidR="008C1EAE" w:rsidRPr="008C1EAE" w:rsidRDefault="008C1EAE" w:rsidP="00A655ED">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Alfabetización sobre el suelo</w:t>
            </w:r>
          </w:p>
        </w:tc>
        <w:tc>
          <w:tcPr>
            <w:tcW w:w="1469" w:type="dxa"/>
          </w:tcPr>
          <w:p w14:paraId="61599263" w14:textId="77777777" w:rsidR="008C1EAE" w:rsidRPr="008C1EAE" w:rsidRDefault="008C1EAE" w:rsidP="00A655ED">
            <w:pPr>
              <w:jc w:val="both"/>
              <w:rPr>
                <w:rFonts w:ascii="Times New Roman" w:hAnsi="Times New Roman" w:cs="Times New Roman"/>
                <w:lang w:val="en-GB"/>
              </w:rPr>
            </w:pPr>
          </w:p>
        </w:tc>
        <w:tc>
          <w:tcPr>
            <w:tcW w:w="5615" w:type="dxa"/>
          </w:tcPr>
          <w:p w14:paraId="4451CCC3"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 xml:space="preserve">La alfabetización sobre el suelo se refiere a la comprensión y el conocimiento del papel que desempeña el suelo en los ecosistemas, la agricultura y la salud medioambiental. </w:t>
            </w:r>
            <w:r w:rsidRPr="008C1EAE">
              <w:rPr>
                <w:rFonts w:ascii="Times New Roman" w:hAnsi="Times New Roman" w:cs="Times New Roman"/>
                <w:lang w:val="es"/>
              </w:rPr>
              <w:lastRenderedPageBreak/>
              <w:t xml:space="preserve">Comprende el conocimiento de la composición del suelo, sus funciones y las prácticas de gestión que promueven un uso sostenible de la tierra. </w:t>
            </w:r>
          </w:p>
          <w:p w14:paraId="112924CB"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Los principales aspectos de la alfabetización sobre el suelo son los siguientes:</w:t>
            </w:r>
          </w:p>
          <w:p w14:paraId="72752BF3"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b/>
                <w:lang w:val="es"/>
              </w:rPr>
              <w:t>Comprender la importancia de la composición del suelo</w:t>
            </w:r>
            <w:r w:rsidRPr="008C1EAE">
              <w:rPr>
                <w:rFonts w:ascii="Times New Roman" w:hAnsi="Times New Roman" w:cs="Times New Roman"/>
                <w:lang w:val="es"/>
              </w:rPr>
              <w:t>: conocer las propiedades físicas y químicas del suelo, como la composición mineralógica, el contenido de materia orgánica y el estado de humedad.</w:t>
            </w:r>
          </w:p>
          <w:p w14:paraId="14240FED"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b/>
                <w:bCs/>
                <w:lang w:val="es"/>
              </w:rPr>
              <w:t>Funciones del suelo</w:t>
            </w:r>
            <w:r w:rsidRPr="008C1EAE">
              <w:rPr>
                <w:rFonts w:ascii="Times New Roman" w:hAnsi="Times New Roman" w:cs="Times New Roman"/>
                <w:lang w:val="es"/>
              </w:rPr>
              <w:t>: conocer las diferentes funciones que desempeña el suelo, como favorecer el crecimiento de las plantas, regular el ciclo del agua, almacenar carbono y ofrecer un hábitat a los organismos.</w:t>
            </w:r>
          </w:p>
          <w:p w14:paraId="4683BA4F"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b/>
                <w:lang w:val="es"/>
              </w:rPr>
              <w:t>Prácticas de gestión del suelo</w:t>
            </w:r>
            <w:r w:rsidRPr="008C1EAE">
              <w:rPr>
                <w:rFonts w:ascii="Times New Roman" w:hAnsi="Times New Roman" w:cs="Times New Roman"/>
                <w:lang w:val="es"/>
              </w:rPr>
              <w:t>: conocer las prácticas sostenibles que mejoren la salud del suelo, como la rotación de cultivos, los cultivos de cobertura, el laboreo reducido y el uso de enmiendas orgánicas.</w:t>
            </w:r>
          </w:p>
          <w:p w14:paraId="468F3FEA"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b/>
                <w:lang w:val="es"/>
              </w:rPr>
              <w:t>Impacto en los ecosistemas</w:t>
            </w:r>
            <w:r w:rsidRPr="008C1EAE">
              <w:rPr>
                <w:rFonts w:ascii="Times New Roman" w:hAnsi="Times New Roman" w:cs="Times New Roman"/>
                <w:lang w:val="es"/>
              </w:rPr>
              <w:t>: reconocer cómo la salud del suelo repercute en cuestiones medioambientales más generales, como la biodiversidad, el cambio climático y la calidad del agua.</w:t>
            </w:r>
          </w:p>
          <w:p w14:paraId="0093DE56"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b/>
                <w:lang w:val="es"/>
              </w:rPr>
              <w:t>Participación de la comunidad</w:t>
            </w:r>
            <w:r w:rsidRPr="008C1EAE">
              <w:rPr>
                <w:rFonts w:ascii="Times New Roman" w:hAnsi="Times New Roman" w:cs="Times New Roman"/>
                <w:lang w:val="es"/>
              </w:rPr>
              <w:t>: fomentar la participación de las comunidades locales con los problemas del suelo por medio de la educación y las prácticas participativas.</w:t>
            </w:r>
          </w:p>
          <w:p w14:paraId="43C5330D"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La alfabetización sobre el suelo es fundamental para fomentar prácticas agrícolas sostenibles y promover la gestión medioambiental. Capacita a individuos y comunidades para que tomen decisiones informadas sobre el uso del suelo y los esfuerzos de conservación.</w:t>
            </w:r>
          </w:p>
        </w:tc>
        <w:tc>
          <w:tcPr>
            <w:tcW w:w="616" w:type="dxa"/>
          </w:tcPr>
          <w:p w14:paraId="7F446132"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lastRenderedPageBreak/>
              <w:t>23, Loess</w:t>
            </w:r>
          </w:p>
        </w:tc>
      </w:tr>
      <w:tr w:rsidR="008C1EAE" w:rsidRPr="008C1EAE" w14:paraId="16FFF1AE" w14:textId="77777777" w:rsidTr="2C6C7817">
        <w:tc>
          <w:tcPr>
            <w:tcW w:w="2062" w:type="dxa"/>
          </w:tcPr>
          <w:p w14:paraId="44628D53"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Antropogénico</w:t>
            </w:r>
          </w:p>
        </w:tc>
        <w:tc>
          <w:tcPr>
            <w:tcW w:w="1469" w:type="dxa"/>
          </w:tcPr>
          <w:p w14:paraId="13D48B89" w14:textId="77777777" w:rsidR="008C1EAE" w:rsidRPr="008C1EAE" w:rsidRDefault="008C1EAE" w:rsidP="002A67F8">
            <w:pPr>
              <w:jc w:val="both"/>
              <w:rPr>
                <w:rFonts w:ascii="Times New Roman" w:hAnsi="Times New Roman" w:cs="Times New Roman"/>
                <w:lang w:val="en-GB"/>
              </w:rPr>
            </w:pPr>
          </w:p>
        </w:tc>
        <w:tc>
          <w:tcPr>
            <w:tcW w:w="5615" w:type="dxa"/>
          </w:tcPr>
          <w:p w14:paraId="5BF9CD33"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Generado por humanos. Cuando se refiere al suelo, se utiliza para indicar las condiciones, alteraciones o tensiones creadas por las actividades humanas.</w:t>
            </w:r>
          </w:p>
        </w:tc>
        <w:tc>
          <w:tcPr>
            <w:tcW w:w="616" w:type="dxa"/>
          </w:tcPr>
          <w:p w14:paraId="194213D8"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w:t>
            </w:r>
          </w:p>
        </w:tc>
      </w:tr>
      <w:tr w:rsidR="008C1EAE" w:rsidRPr="008C1EAE" w14:paraId="5AE3CB1E" w14:textId="77777777" w:rsidTr="2C6C7817">
        <w:tc>
          <w:tcPr>
            <w:tcW w:w="2062" w:type="dxa"/>
          </w:tcPr>
          <w:p w14:paraId="73E75A21" w14:textId="77777777" w:rsidR="008C1EAE" w:rsidRPr="008C1EAE" w:rsidRDefault="008C1EAE" w:rsidP="00A655ED">
            <w:pPr>
              <w:rPr>
                <w:rFonts w:ascii="Times New Roman" w:hAnsi="Times New Roman" w:cs="Times New Roman"/>
                <w:b/>
                <w:color w:val="BF4E14" w:themeColor="accent2" w:themeShade="BF"/>
                <w:lang w:val="en-GB"/>
              </w:rPr>
            </w:pPr>
            <w:r w:rsidRPr="008C1EAE">
              <w:rPr>
                <w:rFonts w:ascii="Times New Roman" w:hAnsi="Times New Roman" w:cs="Times New Roman"/>
                <w:b/>
                <w:color w:val="3A7C22" w:themeColor="accent6" w:themeShade="BF"/>
                <w:lang w:val="es"/>
              </w:rPr>
              <w:t>Apropiación de la tierra</w:t>
            </w:r>
          </w:p>
        </w:tc>
        <w:tc>
          <w:tcPr>
            <w:tcW w:w="1469" w:type="dxa"/>
          </w:tcPr>
          <w:p w14:paraId="0D798D7E" w14:textId="77777777" w:rsidR="008C1EAE" w:rsidRPr="008C1EAE" w:rsidRDefault="008C1EAE" w:rsidP="00A655ED">
            <w:pPr>
              <w:jc w:val="both"/>
              <w:rPr>
                <w:rFonts w:ascii="Times New Roman" w:hAnsi="Times New Roman" w:cs="Times New Roman"/>
                <w:lang w:val="en-GB"/>
              </w:rPr>
            </w:pPr>
          </w:p>
        </w:tc>
        <w:tc>
          <w:tcPr>
            <w:tcW w:w="5615" w:type="dxa"/>
          </w:tcPr>
          <w:p w14:paraId="0B35C4A9"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Es el control -ya sea a través de la propiedad, el arrendamiento, la concesión, los contratos, las cuotas o el poder general- de cantidades de tierra mayores que las habituales a nivel local por parte de cualquier persona o entidad (pública o privada, extranjera o nacional- a través de cualquier medio) «legal» o «ilegal»- con fines de especulación, extracción, control de recursos o mercantilización a expensas de los agricultores locales, la agroecología, la administración de la tierra, la soberanía alimentaria y los derechos humanos.</w:t>
            </w:r>
          </w:p>
        </w:tc>
        <w:tc>
          <w:tcPr>
            <w:tcW w:w="616" w:type="dxa"/>
          </w:tcPr>
          <w:p w14:paraId="28C64F7A"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11</w:t>
            </w:r>
          </w:p>
        </w:tc>
      </w:tr>
      <w:tr w:rsidR="008C1EAE" w:rsidRPr="008C1EAE" w14:paraId="2A06A47F" w14:textId="77777777" w:rsidTr="2C6C7817">
        <w:tc>
          <w:tcPr>
            <w:tcW w:w="2062" w:type="dxa"/>
          </w:tcPr>
          <w:p w14:paraId="6FF428E5" w14:textId="77777777" w:rsidR="008C1EAE" w:rsidRPr="008C1EAE" w:rsidRDefault="008C1EAE" w:rsidP="002A67F8">
            <w:pPr>
              <w:rPr>
                <w:rFonts w:ascii="Times New Roman" w:hAnsi="Times New Roman" w:cs="Times New Roman"/>
                <w:b/>
                <w:lang w:val="en-GB"/>
              </w:rPr>
            </w:pPr>
            <w:r w:rsidRPr="008C1EAE">
              <w:rPr>
                <w:rFonts w:ascii="Times New Roman" w:hAnsi="Times New Roman" w:cs="Times New Roman"/>
                <w:b/>
                <w:color w:val="3A7C22" w:themeColor="accent6" w:themeShade="BF"/>
                <w:lang w:val="es"/>
              </w:rPr>
              <w:t>Biodiversidad</w:t>
            </w:r>
          </w:p>
        </w:tc>
        <w:tc>
          <w:tcPr>
            <w:tcW w:w="1469" w:type="dxa"/>
          </w:tcPr>
          <w:p w14:paraId="04D1C1B8" w14:textId="77777777" w:rsidR="008C1EAE" w:rsidRPr="008C1EAE" w:rsidRDefault="008C1EAE" w:rsidP="002A67F8">
            <w:pPr>
              <w:jc w:val="both"/>
              <w:rPr>
                <w:rFonts w:ascii="Times New Roman" w:hAnsi="Times New Roman" w:cs="Times New Roman"/>
                <w:lang w:val="en-GB"/>
              </w:rPr>
            </w:pPr>
          </w:p>
        </w:tc>
        <w:tc>
          <w:tcPr>
            <w:tcW w:w="5615" w:type="dxa"/>
          </w:tcPr>
          <w:p w14:paraId="7E01724D" w14:textId="77777777" w:rsidR="008C1EAE" w:rsidRPr="008C1EAE" w:rsidRDefault="008C1EAE" w:rsidP="00AC40AC">
            <w:pPr>
              <w:jc w:val="both"/>
              <w:rPr>
                <w:rFonts w:ascii="Times New Roman" w:hAnsi="Times New Roman" w:cs="Times New Roman"/>
                <w:lang w:val="es-ES"/>
              </w:rPr>
            </w:pPr>
            <w:r w:rsidRPr="008C1EAE">
              <w:rPr>
                <w:rFonts w:ascii="Times New Roman" w:hAnsi="Times New Roman" w:cs="Times New Roman"/>
                <w:lang w:val="es"/>
              </w:rPr>
              <w:t>La variedad de la vida en la Tierra a todos los niveles, incluida la diversidad genética dentro de las especies, la diversidad de las propias especies y la diversidad de los ecosistemas. Comprende la variedad de plantas, animales, hongos, microorganismos y los complejos ecológicos de los que forman parte. La biodiversidad es esencial para la estabilidad y la resiliencia de los ecosistemas, ya que sustenta los procesos que sostienen la vida, como el ciclo de los nutrientes, la polinización, la formación del suelo y la regulación del clima.</w:t>
            </w:r>
          </w:p>
          <w:p w14:paraId="188AF899" w14:textId="77777777" w:rsidR="008C1EAE" w:rsidRPr="008C1EAE" w:rsidRDefault="008C1EAE" w:rsidP="00AC40AC">
            <w:pPr>
              <w:jc w:val="both"/>
              <w:rPr>
                <w:rFonts w:ascii="Times New Roman" w:hAnsi="Times New Roman" w:cs="Times New Roman"/>
                <w:lang w:val="es-ES"/>
              </w:rPr>
            </w:pPr>
            <w:r w:rsidRPr="008C1EAE">
              <w:rPr>
                <w:rFonts w:ascii="Times New Roman" w:hAnsi="Times New Roman" w:cs="Times New Roman"/>
                <w:lang w:val="es"/>
              </w:rPr>
              <w:t xml:space="preserve">Las funciones de la biodiversidad son fundamentales tanto para los ecosistemas naturales como para el bienestar humano. La biodiversidad proporciona servicios de ecosistemas como </w:t>
            </w:r>
            <w:r w:rsidRPr="008C1EAE">
              <w:rPr>
                <w:rFonts w:ascii="Times New Roman" w:hAnsi="Times New Roman" w:cs="Times New Roman"/>
                <w:lang w:val="es"/>
              </w:rPr>
              <w:lastRenderedPageBreak/>
              <w:t>alimentos, agua limpia, medicinas y materias primas, a la vez que contribuye a los valores culturales, recreativos y estéticos. La biodiversidad aumenta la productividad y la resiliencia de los ecosistemas, lo que les permite recuperarse de las perturbaciones y adaptarse a los cambios, como aquellos provocados por el cambio climático. La pérdida de biodiversidad, provocada por la destrucción de hábitats, la contaminación, la sobreexplotación y las especies invasoras, constituye una amenaza para estos servicios y funciones vitales.</w:t>
            </w:r>
          </w:p>
        </w:tc>
        <w:tc>
          <w:tcPr>
            <w:tcW w:w="616" w:type="dxa"/>
          </w:tcPr>
          <w:p w14:paraId="266FCC8A"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lastRenderedPageBreak/>
              <w:t>39</w:t>
            </w:r>
          </w:p>
        </w:tc>
      </w:tr>
      <w:tr w:rsidR="008C1EAE" w:rsidRPr="008C1EAE" w14:paraId="4CF952BD" w14:textId="77777777" w:rsidTr="2C6C7817">
        <w:tc>
          <w:tcPr>
            <w:tcW w:w="2062" w:type="dxa"/>
          </w:tcPr>
          <w:p w14:paraId="5BE17839"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Biomasa</w:t>
            </w:r>
          </w:p>
        </w:tc>
        <w:tc>
          <w:tcPr>
            <w:tcW w:w="1469" w:type="dxa"/>
          </w:tcPr>
          <w:p w14:paraId="73CE059C" w14:textId="77777777" w:rsidR="008C1EAE" w:rsidRPr="008C1EAE" w:rsidRDefault="008C1EAE" w:rsidP="002A67F8">
            <w:pPr>
              <w:jc w:val="both"/>
              <w:rPr>
                <w:rFonts w:ascii="Times New Roman" w:hAnsi="Times New Roman" w:cs="Times New Roman"/>
                <w:lang w:val="en-GB"/>
              </w:rPr>
            </w:pPr>
          </w:p>
        </w:tc>
        <w:tc>
          <w:tcPr>
            <w:tcW w:w="5615" w:type="dxa"/>
          </w:tcPr>
          <w:p w14:paraId="41BA28E2"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Materia orgánica de origen biológico (plantas y animales). El término puede utilizarse para los efluentes y residuos agroindustriales, los cultivos energéticos, los materiales procedentes de la naturaleza (por ejemplo, la madera) o los residuos orgánicos. La biomasa se puede utilizar para mejorar la salud y fertilidad del suelo, para aumentar el almacenamiento de carbono o como alternativa a las materias primas fósiles en biorrefinerías y procesos industriales, como materia prima para la producción de biocombustibles.</w:t>
            </w:r>
          </w:p>
        </w:tc>
        <w:tc>
          <w:tcPr>
            <w:tcW w:w="616" w:type="dxa"/>
          </w:tcPr>
          <w:p w14:paraId="1DBF3FA5"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w:t>
            </w:r>
          </w:p>
        </w:tc>
      </w:tr>
      <w:tr w:rsidR="008C1EAE" w:rsidRPr="008C1EAE" w14:paraId="4F56162A" w14:textId="77777777" w:rsidTr="2C6C7817">
        <w:tc>
          <w:tcPr>
            <w:tcW w:w="2062" w:type="dxa"/>
          </w:tcPr>
          <w:p w14:paraId="13E80689"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Capacidad de campo</w:t>
            </w:r>
          </w:p>
        </w:tc>
        <w:tc>
          <w:tcPr>
            <w:tcW w:w="1469" w:type="dxa"/>
          </w:tcPr>
          <w:p w14:paraId="474F827F" w14:textId="77777777" w:rsidR="008C1EAE" w:rsidRPr="008C1EAE" w:rsidRDefault="008C1EAE" w:rsidP="00525540">
            <w:pPr>
              <w:jc w:val="both"/>
              <w:rPr>
                <w:rFonts w:ascii="Times New Roman" w:hAnsi="Times New Roman" w:cs="Times New Roman"/>
                <w:lang w:val="en-GB"/>
              </w:rPr>
            </w:pPr>
          </w:p>
        </w:tc>
        <w:tc>
          <w:tcPr>
            <w:tcW w:w="5615" w:type="dxa"/>
          </w:tcPr>
          <w:p w14:paraId="504E1BFA"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 xml:space="preserve">La condición de humedad en la que el suelo contiene la máxima cantidad de agua que puede retener contra la gravedad, y donde un mayor aporte de agua provocará drenaje. Tras la saturación, los suelos generalmente vuelven a su capacidad de campo, cuando la velocidad de movimiento descendente del agua ha disminuido sustancialmente, normalmente de 1 a 3 días después de la lluvia o el riego, una vez que el agua gravitacional o libre se ha drenado. Se suele expresar como una fracción de masa o volumen de agua del suelo. </w:t>
            </w:r>
          </w:p>
        </w:tc>
        <w:tc>
          <w:tcPr>
            <w:tcW w:w="616" w:type="dxa"/>
          </w:tcPr>
          <w:p w14:paraId="5F94177E"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11FA9EEB" w14:textId="77777777" w:rsidTr="2C6C7817">
        <w:tc>
          <w:tcPr>
            <w:tcW w:w="2062" w:type="dxa"/>
          </w:tcPr>
          <w:p w14:paraId="349D177C"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Capacidad de intercambio catiónico</w:t>
            </w:r>
          </w:p>
        </w:tc>
        <w:tc>
          <w:tcPr>
            <w:tcW w:w="1469" w:type="dxa"/>
          </w:tcPr>
          <w:p w14:paraId="099ABBCE" w14:textId="77777777" w:rsidR="008C1EAE" w:rsidRPr="008C1EAE" w:rsidRDefault="008C1EAE" w:rsidP="002A67F8">
            <w:pPr>
              <w:jc w:val="both"/>
              <w:rPr>
                <w:rFonts w:ascii="Times New Roman" w:hAnsi="Times New Roman" w:cs="Times New Roman"/>
                <w:lang w:val="en-GB"/>
              </w:rPr>
            </w:pPr>
          </w:p>
        </w:tc>
        <w:tc>
          <w:tcPr>
            <w:tcW w:w="5615" w:type="dxa"/>
          </w:tcPr>
          <w:p w14:paraId="10237374"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La capacidad del suelo de retener nutrientes para uso de las plantas. En concreto, la CIC es la cantidad de carga negativa disponible en los minerales arcillosos y el humus del suelo para retener iones cargados positivamente. La capacidad de intercambio catiónico efectiva (CICE) se refiere a suelos ácidos (pH&lt;5). Se expresa en centimoles de carga por kilogramo de suelo (cmolc/kg).</w:t>
            </w:r>
          </w:p>
        </w:tc>
        <w:tc>
          <w:tcPr>
            <w:tcW w:w="616" w:type="dxa"/>
          </w:tcPr>
          <w:p w14:paraId="3B10E3A9"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w:t>
            </w:r>
          </w:p>
        </w:tc>
      </w:tr>
      <w:tr w:rsidR="008C1EAE" w:rsidRPr="008C1EAE" w14:paraId="5B6D8231" w14:textId="77777777" w:rsidTr="2C6C7817">
        <w:tc>
          <w:tcPr>
            <w:tcW w:w="2062" w:type="dxa"/>
          </w:tcPr>
          <w:p w14:paraId="56AF4CA6"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Capacidad del suelo</w:t>
            </w:r>
          </w:p>
        </w:tc>
        <w:tc>
          <w:tcPr>
            <w:tcW w:w="1469" w:type="dxa"/>
          </w:tcPr>
          <w:p w14:paraId="1E1C6DC0" w14:textId="77777777" w:rsidR="008C1EAE" w:rsidRPr="008C1EAE" w:rsidRDefault="008C1EAE" w:rsidP="00525540">
            <w:pPr>
              <w:jc w:val="both"/>
              <w:rPr>
                <w:rFonts w:ascii="Times New Roman" w:hAnsi="Times New Roman" w:cs="Times New Roman"/>
                <w:lang w:val="en-GB"/>
              </w:rPr>
            </w:pPr>
          </w:p>
        </w:tc>
        <w:tc>
          <w:tcPr>
            <w:tcW w:w="5615" w:type="dxa"/>
          </w:tcPr>
          <w:p w14:paraId="43AB1260"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La capacidad intrínseca de un suelo para ofrecer/realizar funciones del suelo.</w:t>
            </w:r>
          </w:p>
        </w:tc>
        <w:tc>
          <w:tcPr>
            <w:tcW w:w="616" w:type="dxa"/>
          </w:tcPr>
          <w:p w14:paraId="14ECCC7D"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2</w:t>
            </w:r>
          </w:p>
        </w:tc>
      </w:tr>
      <w:tr w:rsidR="008C1EAE" w:rsidRPr="008C1EAE" w14:paraId="2EB7EC03" w14:textId="77777777" w:rsidTr="2C6C7817">
        <w:tc>
          <w:tcPr>
            <w:tcW w:w="2062" w:type="dxa"/>
          </w:tcPr>
          <w:p w14:paraId="13288724"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Capital natural</w:t>
            </w:r>
          </w:p>
        </w:tc>
        <w:tc>
          <w:tcPr>
            <w:tcW w:w="1469" w:type="dxa"/>
          </w:tcPr>
          <w:p w14:paraId="14D534CA" w14:textId="77777777" w:rsidR="008C1EAE" w:rsidRPr="008C1EAE" w:rsidRDefault="008C1EAE" w:rsidP="00525540">
            <w:pPr>
              <w:jc w:val="both"/>
              <w:rPr>
                <w:rFonts w:ascii="Times New Roman" w:hAnsi="Times New Roman" w:cs="Times New Roman"/>
                <w:lang w:val="en-GB"/>
              </w:rPr>
            </w:pPr>
          </w:p>
        </w:tc>
        <w:tc>
          <w:tcPr>
            <w:tcW w:w="5615" w:type="dxa"/>
          </w:tcPr>
          <w:p w14:paraId="5256F283"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Hace referencia tanto a los aspectos vivos (por ejemplo, poblaciones de peces, bosques) como a los no vivos (por ejemplo, minerales, recursos energéticos) de la naturaleza. Es el conjunto de ecosistemas de la Tierra, que incluye el aire, el agua, la biodiversidad y la geodiversidad. Estos recursos sustentan nuestra economía y nuestra sociedad, ya que generan valor para las personas, tanto de forma directa como indirecta. Los bienes y servicios que el capital natural gestionado de forma sostenible proporciona a los seres humanos incluyen una serie de beneficios sociales y medioambientales, como aire y agua limpios, mitigación del cambio climático y adaptación al mismo, alimentos, energía, lugares para vivir, materiales para productos, ocio y protección frente a riesgos.</w:t>
            </w:r>
          </w:p>
        </w:tc>
        <w:tc>
          <w:tcPr>
            <w:tcW w:w="616" w:type="dxa"/>
          </w:tcPr>
          <w:p w14:paraId="6CA27037"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1, 2</w:t>
            </w:r>
          </w:p>
        </w:tc>
      </w:tr>
      <w:tr w:rsidR="008C1EAE" w:rsidRPr="008C1EAE" w14:paraId="5D2EF4E9" w14:textId="77777777" w:rsidTr="2C6C7817">
        <w:tc>
          <w:tcPr>
            <w:tcW w:w="2062" w:type="dxa"/>
          </w:tcPr>
          <w:p w14:paraId="60E5F6A5"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Ciclo del carbono</w:t>
            </w:r>
          </w:p>
        </w:tc>
        <w:tc>
          <w:tcPr>
            <w:tcW w:w="1469" w:type="dxa"/>
          </w:tcPr>
          <w:p w14:paraId="713403B0" w14:textId="77777777" w:rsidR="008C1EAE" w:rsidRPr="008C1EAE" w:rsidRDefault="008C1EAE" w:rsidP="002A67F8">
            <w:pPr>
              <w:jc w:val="both"/>
              <w:rPr>
                <w:rFonts w:ascii="Times New Roman" w:hAnsi="Times New Roman" w:cs="Times New Roman"/>
                <w:lang w:val="en-GB"/>
              </w:rPr>
            </w:pPr>
          </w:p>
        </w:tc>
        <w:tc>
          <w:tcPr>
            <w:tcW w:w="5615" w:type="dxa"/>
          </w:tcPr>
          <w:p w14:paraId="737E586B"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 xml:space="preserve">La secuencia de transformaciones por las que el dióxido de carbono se convierte en formas orgánicas mediante fotosíntesis o quimiosíntesis, se recicla a través de la biosfera </w:t>
            </w:r>
            <w:r w:rsidRPr="008C1EAE">
              <w:rPr>
                <w:rFonts w:ascii="Times New Roman" w:hAnsi="Times New Roman" w:cs="Times New Roman"/>
                <w:lang w:val="es"/>
              </w:rPr>
              <w:lastRenderedPageBreak/>
              <w:t>(con incorporación parcial a los sedimentos) y, finalmente, vuelve a su estado original mediante respiración o combustión.</w:t>
            </w:r>
          </w:p>
        </w:tc>
        <w:tc>
          <w:tcPr>
            <w:tcW w:w="616" w:type="dxa"/>
          </w:tcPr>
          <w:p w14:paraId="5112E6D9"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lastRenderedPageBreak/>
              <w:t>3</w:t>
            </w:r>
          </w:p>
        </w:tc>
      </w:tr>
      <w:tr w:rsidR="008C1EAE" w:rsidRPr="008C1EAE" w14:paraId="2ABD69B6" w14:textId="77777777" w:rsidTr="2C6C7817">
        <w:tc>
          <w:tcPr>
            <w:tcW w:w="2062" w:type="dxa"/>
          </w:tcPr>
          <w:p w14:paraId="6D7685EE"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Compactación del suelo</w:t>
            </w:r>
          </w:p>
        </w:tc>
        <w:tc>
          <w:tcPr>
            <w:tcW w:w="1469" w:type="dxa"/>
          </w:tcPr>
          <w:p w14:paraId="76FCDBE4" w14:textId="77777777" w:rsidR="008C1EAE" w:rsidRPr="008C1EAE" w:rsidRDefault="008C1EAE" w:rsidP="00525540">
            <w:pPr>
              <w:jc w:val="both"/>
              <w:rPr>
                <w:rFonts w:ascii="Times New Roman" w:hAnsi="Times New Roman" w:cs="Times New Roman"/>
                <w:lang w:val="en-GB"/>
              </w:rPr>
            </w:pPr>
          </w:p>
        </w:tc>
        <w:tc>
          <w:tcPr>
            <w:tcW w:w="5615" w:type="dxa"/>
          </w:tcPr>
          <w:p w14:paraId="5D8CB156"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El cambio de la naturaleza del suelo de forma que se produzca una disminución del volumen de los poros entre las partículas o agregados del suelo. Se manifiesta como un aumento de la densidad aparente, y un suelo muy compactado puede volverse significativamente menos permeable y menos aireado. La compactación dependiente del ser humano se produce a cauda de la caza furtiva (pisoteo repetido de los cascos de los animales) o por el paso de maquinaria pesada. Otros ejemplos típicos son las «balsas de arado» (suela de arado o balsa de tráfico) que pueden formarse debido al laboreo, y que pueden afectar de forma negativa al desarrollo de las raíces y al drenaje.</w:t>
            </w:r>
          </w:p>
        </w:tc>
        <w:tc>
          <w:tcPr>
            <w:tcW w:w="616" w:type="dxa"/>
          </w:tcPr>
          <w:p w14:paraId="797C25A7"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451FFBE0" w14:textId="77777777" w:rsidTr="2C6C7817">
        <w:tc>
          <w:tcPr>
            <w:tcW w:w="2062" w:type="dxa"/>
          </w:tcPr>
          <w:p w14:paraId="3F8D3047"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Compost</w:t>
            </w:r>
          </w:p>
        </w:tc>
        <w:tc>
          <w:tcPr>
            <w:tcW w:w="1469" w:type="dxa"/>
          </w:tcPr>
          <w:p w14:paraId="2681E05F" w14:textId="77777777" w:rsidR="008C1EAE" w:rsidRPr="008C1EAE" w:rsidRDefault="008C1EAE" w:rsidP="002A67F8">
            <w:pPr>
              <w:jc w:val="both"/>
              <w:rPr>
                <w:rFonts w:ascii="Times New Roman" w:hAnsi="Times New Roman" w:cs="Times New Roman"/>
                <w:lang w:val="en-GB"/>
              </w:rPr>
            </w:pPr>
          </w:p>
        </w:tc>
        <w:tc>
          <w:tcPr>
            <w:tcW w:w="5615" w:type="dxa"/>
          </w:tcPr>
          <w:p w14:paraId="5F89686A"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El material utilizado para aportar materia orgánica o nutrientes vegetales a un suelo, obtenido del compostaje.</w:t>
            </w:r>
          </w:p>
        </w:tc>
        <w:tc>
          <w:tcPr>
            <w:tcW w:w="616" w:type="dxa"/>
          </w:tcPr>
          <w:p w14:paraId="3577846C"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w:t>
            </w:r>
          </w:p>
        </w:tc>
      </w:tr>
      <w:tr w:rsidR="008C1EAE" w:rsidRPr="008C1EAE" w14:paraId="5A717CE8" w14:textId="77777777" w:rsidTr="2C6C7817">
        <w:tc>
          <w:tcPr>
            <w:tcW w:w="2062" w:type="dxa"/>
          </w:tcPr>
          <w:p w14:paraId="770E95A4"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Compostaje</w:t>
            </w:r>
          </w:p>
        </w:tc>
        <w:tc>
          <w:tcPr>
            <w:tcW w:w="1469" w:type="dxa"/>
          </w:tcPr>
          <w:p w14:paraId="058FA98C" w14:textId="77777777" w:rsidR="008C1EAE" w:rsidRPr="008C1EAE" w:rsidRDefault="008C1EAE" w:rsidP="002A67F8">
            <w:pPr>
              <w:jc w:val="both"/>
              <w:rPr>
                <w:rFonts w:ascii="Times New Roman" w:hAnsi="Times New Roman" w:cs="Times New Roman"/>
                <w:lang w:val="en-GB"/>
              </w:rPr>
            </w:pPr>
          </w:p>
        </w:tc>
        <w:tc>
          <w:tcPr>
            <w:tcW w:w="5615" w:type="dxa"/>
          </w:tcPr>
          <w:p w14:paraId="736801CD"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La descomposición microbiana aeróbica de materiales orgánicos, como residuos agrícolas, residuos orgánicos urbanos y restos de siega. Este proceso normalmente se lleva a cabo volteando y aireando regularmente la biomasa orgánica almacenada en montones con una geometría que favorece una aireación eficaz. Durante esta transformación, las fracciones orgánicas más fácilmente degradables sufren una oxidación y se convierten en materia orgánica estable, que se puede utilizar en la agricultura como fertilizante y como método de control biológico. Dependiendo de la materia prima utilizada para el compostaje, puede haber algunos riesgos, como la contaminación por microplásticos en el caso de la materia prima de origen doméstico, lo que exige precaución en las aplicaciones agrícolas. Al mismo tiempo, el producto puede volverse menos voluminoso como consecuencia de la pérdida de agua y también más manejable debido a la homogeneización.</w:t>
            </w:r>
          </w:p>
          <w:p w14:paraId="7819FA2C"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Además de estos beneficios, el compostaje ayuda a disminuir la fitotoxicidad inicial de los materiales orgánicos utilizados, desinfecta los materiales y reduce la germinabilidad de cualquier semilla de malas hierbas.</w:t>
            </w:r>
          </w:p>
        </w:tc>
        <w:tc>
          <w:tcPr>
            <w:tcW w:w="616" w:type="dxa"/>
          </w:tcPr>
          <w:p w14:paraId="179F6EFC"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1, 3</w:t>
            </w:r>
          </w:p>
        </w:tc>
      </w:tr>
      <w:tr w:rsidR="008C1EAE" w:rsidRPr="008C1EAE" w14:paraId="7931B3B9" w14:textId="77777777" w:rsidTr="2C6C7817">
        <w:tc>
          <w:tcPr>
            <w:tcW w:w="2062" w:type="dxa"/>
          </w:tcPr>
          <w:p w14:paraId="4ED1B56F"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Condición del suelo</w:t>
            </w:r>
          </w:p>
        </w:tc>
        <w:tc>
          <w:tcPr>
            <w:tcW w:w="1469" w:type="dxa"/>
          </w:tcPr>
          <w:p w14:paraId="5E2A4567" w14:textId="77777777" w:rsidR="008C1EAE" w:rsidRPr="008C1EAE" w:rsidRDefault="008C1EAE" w:rsidP="00525540">
            <w:pPr>
              <w:jc w:val="both"/>
              <w:rPr>
                <w:rFonts w:ascii="Times New Roman" w:hAnsi="Times New Roman" w:cs="Times New Roman"/>
                <w:lang w:val="en-GB"/>
              </w:rPr>
            </w:pPr>
          </w:p>
        </w:tc>
        <w:tc>
          <w:tcPr>
            <w:tcW w:w="5615" w:type="dxa"/>
          </w:tcPr>
          <w:p w14:paraId="16B577B5"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La condición del suelo se refiere al estado del suelo, que incluye sus características físicas, químicas y biológicas, así como los procesos e interacciones que los conectan, lo que, a su vez, determina la capacidad del suelo para sustentar los servicios de los ecosistemas.</w:t>
            </w:r>
          </w:p>
        </w:tc>
        <w:tc>
          <w:tcPr>
            <w:tcW w:w="616" w:type="dxa"/>
          </w:tcPr>
          <w:p w14:paraId="4ABE14D3"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2</w:t>
            </w:r>
          </w:p>
        </w:tc>
      </w:tr>
      <w:tr w:rsidR="008C1EAE" w:rsidRPr="008C1EAE" w14:paraId="227A321A" w14:textId="77777777" w:rsidTr="2C6C7817">
        <w:tc>
          <w:tcPr>
            <w:tcW w:w="2062" w:type="dxa"/>
          </w:tcPr>
          <w:p w14:paraId="02C8AE95"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Conductividad eléctrica</w:t>
            </w:r>
          </w:p>
        </w:tc>
        <w:tc>
          <w:tcPr>
            <w:tcW w:w="1469" w:type="dxa"/>
          </w:tcPr>
          <w:p w14:paraId="67DE2CAB" w14:textId="77777777" w:rsidR="008C1EAE" w:rsidRPr="008C1EAE" w:rsidRDefault="008C1EAE" w:rsidP="002A67F8">
            <w:pPr>
              <w:jc w:val="both"/>
              <w:rPr>
                <w:rFonts w:ascii="Times New Roman" w:hAnsi="Times New Roman" w:cs="Times New Roman"/>
                <w:lang w:val="en-GB"/>
              </w:rPr>
            </w:pPr>
          </w:p>
        </w:tc>
        <w:tc>
          <w:tcPr>
            <w:tcW w:w="5615" w:type="dxa"/>
          </w:tcPr>
          <w:p w14:paraId="51649236"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La medida de la capacidad de un material para transportar una carga eléctrica. Se utiliza como una medida de la salinidad del suelo y para estimar sus consecuencias prácticas para los cultivos. La CE de una suspensión de suelo en una determinada proporción de suelo/agua (normalmente 1:5 o extracto saturado como un indicador de la solución del suelo), expresada en Siemens por metro.</w:t>
            </w:r>
          </w:p>
        </w:tc>
        <w:tc>
          <w:tcPr>
            <w:tcW w:w="616" w:type="dxa"/>
          </w:tcPr>
          <w:p w14:paraId="1A49F64A"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0C929BC2" w14:textId="77777777" w:rsidTr="2C6C7817">
        <w:tc>
          <w:tcPr>
            <w:tcW w:w="2062" w:type="dxa"/>
          </w:tcPr>
          <w:p w14:paraId="44E0D248"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Contaminación del suelo</w:t>
            </w:r>
          </w:p>
        </w:tc>
        <w:tc>
          <w:tcPr>
            <w:tcW w:w="1469" w:type="dxa"/>
          </w:tcPr>
          <w:p w14:paraId="7FEFEEE4" w14:textId="77777777" w:rsidR="008C1EAE" w:rsidRPr="008C1EAE" w:rsidRDefault="008C1EAE" w:rsidP="00525540">
            <w:pPr>
              <w:jc w:val="both"/>
              <w:rPr>
                <w:rFonts w:ascii="Times New Roman" w:hAnsi="Times New Roman" w:cs="Times New Roman"/>
                <w:lang w:val="en-GB"/>
              </w:rPr>
            </w:pPr>
          </w:p>
        </w:tc>
        <w:tc>
          <w:tcPr>
            <w:tcW w:w="5615" w:type="dxa"/>
          </w:tcPr>
          <w:p w14:paraId="32AC9FC2"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 xml:space="preserve">La presencia de un químico o sustancia en el suelo en una concentración que puede ser perjudicial para la salud del ser humano o para el medioambiente. La contaminación puede tener un efecto tóxico directo sobre las plantas, los animales o los seres humanos que viven en, sobre o de ese suelo, o bien </w:t>
            </w:r>
            <w:r w:rsidRPr="008C1EAE">
              <w:rPr>
                <w:rFonts w:ascii="Times New Roman" w:hAnsi="Times New Roman" w:cs="Times New Roman"/>
                <w:lang w:val="es"/>
              </w:rPr>
              <w:lastRenderedPageBreak/>
              <w:t>tener un efecto tóxico indirecto debido a la acumulación en toda la cadena trófica.</w:t>
            </w:r>
          </w:p>
        </w:tc>
        <w:tc>
          <w:tcPr>
            <w:tcW w:w="616" w:type="dxa"/>
          </w:tcPr>
          <w:p w14:paraId="2379A3EE"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lastRenderedPageBreak/>
              <w:t>2, 4</w:t>
            </w:r>
          </w:p>
        </w:tc>
      </w:tr>
      <w:tr w:rsidR="008C1EAE" w:rsidRPr="008C1EAE" w14:paraId="0DECBF8D" w14:textId="77777777" w:rsidTr="2C6C7817">
        <w:tc>
          <w:tcPr>
            <w:tcW w:w="2062" w:type="dxa"/>
          </w:tcPr>
          <w:p w14:paraId="6F6E2117"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Contaminante</w:t>
            </w:r>
          </w:p>
        </w:tc>
        <w:tc>
          <w:tcPr>
            <w:tcW w:w="1469" w:type="dxa"/>
          </w:tcPr>
          <w:p w14:paraId="6EF8515C" w14:textId="77777777" w:rsidR="008C1EAE" w:rsidRPr="008C1EAE" w:rsidRDefault="008C1EAE" w:rsidP="00525540">
            <w:pPr>
              <w:jc w:val="both"/>
              <w:rPr>
                <w:rFonts w:ascii="Times New Roman" w:hAnsi="Times New Roman" w:cs="Times New Roman"/>
                <w:lang w:val="en-GB"/>
              </w:rPr>
            </w:pPr>
          </w:p>
        </w:tc>
        <w:tc>
          <w:tcPr>
            <w:tcW w:w="5615" w:type="dxa"/>
          </w:tcPr>
          <w:p w14:paraId="475626BD"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Sustancia o compuesto presente en el suelo (o en las aguas freáticas) que, debido a sus propiedades, cantidad o concentración, provoca impactos adversos en la función del suelo y afecta de forma negativa a la biota del suelo y a otras biotas vivas.</w:t>
            </w:r>
          </w:p>
        </w:tc>
        <w:tc>
          <w:tcPr>
            <w:tcW w:w="616" w:type="dxa"/>
          </w:tcPr>
          <w:p w14:paraId="4F19054A"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2</w:t>
            </w:r>
          </w:p>
        </w:tc>
      </w:tr>
      <w:tr w:rsidR="008C1EAE" w:rsidRPr="008C1EAE" w14:paraId="10F794FE" w14:textId="77777777" w:rsidTr="2C6C7817">
        <w:tc>
          <w:tcPr>
            <w:tcW w:w="2062" w:type="dxa"/>
          </w:tcPr>
          <w:p w14:paraId="4E7D4BA1" w14:textId="77777777" w:rsidR="008C1EAE" w:rsidRPr="008C1EAE" w:rsidRDefault="008C1EAE" w:rsidP="002A67F8">
            <w:pPr>
              <w:rPr>
                <w:rFonts w:ascii="Times New Roman" w:hAnsi="Times New Roman" w:cs="Times New Roman"/>
                <w:b/>
                <w:color w:val="3A7C22" w:themeColor="accent6" w:themeShade="BF"/>
                <w:lang w:val="es-ES"/>
              </w:rPr>
            </w:pPr>
            <w:r w:rsidRPr="008C1EAE">
              <w:rPr>
                <w:rFonts w:ascii="Times New Roman" w:hAnsi="Times New Roman" w:cs="Times New Roman"/>
                <w:b/>
                <w:color w:val="3A7C22" w:themeColor="accent6" w:themeShade="BF"/>
                <w:lang w:val="es"/>
              </w:rPr>
              <w:t>Control de la calidad del suelo</w:t>
            </w:r>
          </w:p>
        </w:tc>
        <w:tc>
          <w:tcPr>
            <w:tcW w:w="1469" w:type="dxa"/>
          </w:tcPr>
          <w:p w14:paraId="37CB3D4D" w14:textId="77777777" w:rsidR="008C1EAE" w:rsidRPr="008C1EAE" w:rsidRDefault="008C1EAE" w:rsidP="00525540">
            <w:pPr>
              <w:jc w:val="both"/>
              <w:rPr>
                <w:rFonts w:ascii="Times New Roman" w:hAnsi="Times New Roman" w:cs="Times New Roman"/>
                <w:lang w:val="es-ES"/>
              </w:rPr>
            </w:pPr>
          </w:p>
        </w:tc>
        <w:tc>
          <w:tcPr>
            <w:tcW w:w="5615" w:type="dxa"/>
          </w:tcPr>
          <w:p w14:paraId="0AFB7656" w14:textId="77777777" w:rsidR="008C1EAE" w:rsidRPr="008C1EAE" w:rsidRDefault="008C1EAE" w:rsidP="00525540">
            <w:pPr>
              <w:jc w:val="both"/>
              <w:rPr>
                <w:rFonts w:ascii="Times New Roman" w:hAnsi="Times New Roman" w:cs="Times New Roman"/>
                <w:lang w:val="en-GB"/>
              </w:rPr>
            </w:pPr>
            <w:r w:rsidRPr="008C1EAE">
              <w:rPr>
                <w:rFonts w:ascii="Times New Roman" w:hAnsi="Times New Roman" w:cs="Times New Roman"/>
                <w:lang w:val="es"/>
              </w:rPr>
              <w:t>El seguimiento de las tendencias en indicadores cuantitativos o la capacidad funcional del suelo para determinar el éxito de las prácticas de gestión o la necesidad de realizar más cambios de gestión. El control comprende la recogida ordenada, el análisis y la interpretación de datos obtenidos en los mismos lugares a lo largo del tiempo. (Compáralo con la evaluación.)</w:t>
            </w:r>
          </w:p>
        </w:tc>
        <w:tc>
          <w:tcPr>
            <w:tcW w:w="616" w:type="dxa"/>
          </w:tcPr>
          <w:p w14:paraId="6BF78008"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w:t>
            </w:r>
          </w:p>
        </w:tc>
      </w:tr>
      <w:tr w:rsidR="008C1EAE" w:rsidRPr="008C1EAE" w14:paraId="29491CE8" w14:textId="77777777" w:rsidTr="2C6C7817">
        <w:tc>
          <w:tcPr>
            <w:tcW w:w="2062" w:type="dxa"/>
          </w:tcPr>
          <w:p w14:paraId="051B7EE9" w14:textId="77777777" w:rsidR="008C1EAE" w:rsidRPr="008C1EAE" w:rsidRDefault="008C1EAE" w:rsidP="00A655ED">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Cuidado</w:t>
            </w:r>
          </w:p>
        </w:tc>
        <w:tc>
          <w:tcPr>
            <w:tcW w:w="1469" w:type="dxa"/>
          </w:tcPr>
          <w:p w14:paraId="0AE071B0" w14:textId="77777777" w:rsidR="008C1EAE" w:rsidRPr="008C1EAE" w:rsidRDefault="008C1EAE" w:rsidP="00A655ED">
            <w:pPr>
              <w:jc w:val="both"/>
              <w:rPr>
                <w:rFonts w:ascii="Times New Roman" w:hAnsi="Times New Roman" w:cs="Times New Roman"/>
                <w:lang w:val="en-GB"/>
              </w:rPr>
            </w:pPr>
          </w:p>
        </w:tc>
        <w:tc>
          <w:tcPr>
            <w:tcW w:w="5615" w:type="dxa"/>
          </w:tcPr>
          <w:p w14:paraId="5F761386"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La provisión de cuanto sea necesario para la salud, el bienestar, el mantenimiento y la protección de alguien o algo. Esta definición cubre un amplio abanico de actividades y actitudes dirigidas a fomentar el bienestar y el apoyo. Los cuidados se consideran actividades destinadas a atender las necesidades de las personas y proporcionarles apoyo para mejorar su calidad de vida.</w:t>
            </w:r>
          </w:p>
        </w:tc>
        <w:tc>
          <w:tcPr>
            <w:tcW w:w="616" w:type="dxa"/>
          </w:tcPr>
          <w:p w14:paraId="4FD7EA6C"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28, 29</w:t>
            </w:r>
          </w:p>
        </w:tc>
      </w:tr>
      <w:tr w:rsidR="008C1EAE" w:rsidRPr="008C1EAE" w14:paraId="515FC738" w14:textId="77777777" w:rsidTr="2C6C7817">
        <w:tc>
          <w:tcPr>
            <w:tcW w:w="2062" w:type="dxa"/>
          </w:tcPr>
          <w:p w14:paraId="74E6CACB"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Degradación del suelo</w:t>
            </w:r>
          </w:p>
        </w:tc>
        <w:tc>
          <w:tcPr>
            <w:tcW w:w="1469" w:type="dxa"/>
          </w:tcPr>
          <w:p w14:paraId="54FEB7C5" w14:textId="77777777" w:rsidR="008C1EAE" w:rsidRPr="008C1EAE" w:rsidRDefault="008C1EAE" w:rsidP="00525540">
            <w:pPr>
              <w:jc w:val="both"/>
              <w:rPr>
                <w:rFonts w:ascii="Times New Roman" w:hAnsi="Times New Roman" w:cs="Times New Roman"/>
                <w:lang w:val="en-GB"/>
              </w:rPr>
            </w:pPr>
          </w:p>
        </w:tc>
        <w:tc>
          <w:tcPr>
            <w:tcW w:w="5615" w:type="dxa"/>
          </w:tcPr>
          <w:p w14:paraId="4ADCDB4E"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El proceso negativo que a menudo se ve acelerado por las actividades del ser humano (como por el uso inadecuado del suelo y las prácticas de cultivo o el sellado del suelo) y que conduce al deterioro de las propiedades y funciones del suelo o a la destrucción del suelo en su conjunto, como por ejemplo la compactación, la erosión o la salinización.</w:t>
            </w:r>
          </w:p>
        </w:tc>
        <w:tc>
          <w:tcPr>
            <w:tcW w:w="616" w:type="dxa"/>
          </w:tcPr>
          <w:p w14:paraId="15D617E7"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2,3</w:t>
            </w:r>
          </w:p>
        </w:tc>
      </w:tr>
      <w:tr w:rsidR="008C1EAE" w:rsidRPr="008C1EAE" w14:paraId="06304B05" w14:textId="77777777" w:rsidTr="2C6C7817">
        <w:tc>
          <w:tcPr>
            <w:tcW w:w="2062" w:type="dxa"/>
          </w:tcPr>
          <w:p w14:paraId="626A8210"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Desertificación</w:t>
            </w:r>
          </w:p>
        </w:tc>
        <w:tc>
          <w:tcPr>
            <w:tcW w:w="1469" w:type="dxa"/>
          </w:tcPr>
          <w:p w14:paraId="2B0C8E09" w14:textId="77777777" w:rsidR="008C1EAE" w:rsidRPr="008C1EAE" w:rsidRDefault="008C1EAE" w:rsidP="002A67F8">
            <w:pPr>
              <w:jc w:val="both"/>
              <w:rPr>
                <w:rFonts w:ascii="Times New Roman" w:hAnsi="Times New Roman" w:cs="Times New Roman"/>
                <w:lang w:val="en-GB"/>
              </w:rPr>
            </w:pPr>
          </w:p>
        </w:tc>
        <w:tc>
          <w:tcPr>
            <w:tcW w:w="5615" w:type="dxa"/>
          </w:tcPr>
          <w:p w14:paraId="1BB1AA2A"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El proceso en el que una tierra relativamente seca se vuelve cada vez más árida, perdiendo normalmente su masa de agua, así como la vegetación y la vida silvestre, ya sea de forma directa a causa del cambio climático o indirecta a causa de la degradación del suelo como consecuencia de una gestión deficiente.</w:t>
            </w:r>
          </w:p>
        </w:tc>
        <w:tc>
          <w:tcPr>
            <w:tcW w:w="616" w:type="dxa"/>
          </w:tcPr>
          <w:p w14:paraId="09D9DE42"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6E4B5775" w14:textId="77777777" w:rsidTr="2C6C7817">
        <w:tc>
          <w:tcPr>
            <w:tcW w:w="2062" w:type="dxa"/>
          </w:tcPr>
          <w:p w14:paraId="05BAA569"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Desnitrificación</w:t>
            </w:r>
          </w:p>
        </w:tc>
        <w:tc>
          <w:tcPr>
            <w:tcW w:w="1469" w:type="dxa"/>
          </w:tcPr>
          <w:p w14:paraId="64684F29" w14:textId="77777777" w:rsidR="008C1EAE" w:rsidRPr="008C1EAE" w:rsidRDefault="008C1EAE" w:rsidP="002A67F8">
            <w:pPr>
              <w:jc w:val="both"/>
              <w:rPr>
                <w:rFonts w:ascii="Times New Roman" w:hAnsi="Times New Roman" w:cs="Times New Roman"/>
                <w:lang w:val="en-GB"/>
              </w:rPr>
            </w:pPr>
          </w:p>
        </w:tc>
        <w:tc>
          <w:tcPr>
            <w:tcW w:w="5615" w:type="dxa"/>
          </w:tcPr>
          <w:p w14:paraId="10B1C392"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Un proceso que llevan a cabo unas pocas especies de bacterias anaerobias del suelo en el que el nitrito o el nitrato se convierte en gas nitrógeno (N</w:t>
            </w:r>
            <w:r w:rsidRPr="008C1EAE">
              <w:rPr>
                <w:rFonts w:ascii="Times New Roman" w:hAnsi="Times New Roman" w:cs="Times New Roman"/>
                <w:vertAlign w:val="subscript"/>
                <w:lang w:val="es"/>
              </w:rPr>
              <w:t>2</w:t>
            </w:r>
            <w:r w:rsidRPr="008C1EAE">
              <w:rPr>
                <w:rFonts w:ascii="Times New Roman" w:hAnsi="Times New Roman" w:cs="Times New Roman"/>
                <w:lang w:val="es"/>
              </w:rPr>
              <w:t>) u óxido nitroso (N</w:t>
            </w:r>
            <w:r w:rsidRPr="008C1EAE">
              <w:rPr>
                <w:rFonts w:ascii="Times New Roman" w:hAnsi="Times New Roman" w:cs="Times New Roman"/>
                <w:vertAlign w:val="subscript"/>
                <w:lang w:val="es"/>
              </w:rPr>
              <w:t>2</w:t>
            </w:r>
            <w:r w:rsidRPr="008C1EAE">
              <w:rPr>
                <w:rFonts w:ascii="Times New Roman" w:hAnsi="Times New Roman" w:cs="Times New Roman"/>
                <w:lang w:val="es"/>
              </w:rPr>
              <w:t>O). Tanto N</w:t>
            </w:r>
            <w:r w:rsidRPr="008C1EAE">
              <w:rPr>
                <w:rFonts w:ascii="Times New Roman" w:hAnsi="Times New Roman" w:cs="Times New Roman"/>
                <w:vertAlign w:val="subscript"/>
                <w:lang w:val="es"/>
              </w:rPr>
              <w:t>2</w:t>
            </w:r>
            <w:r w:rsidRPr="008C1EAE">
              <w:rPr>
                <w:rFonts w:ascii="Times New Roman" w:hAnsi="Times New Roman" w:cs="Times New Roman"/>
                <w:lang w:val="es"/>
              </w:rPr>
              <w:t xml:space="preserve"> como N</w:t>
            </w:r>
            <w:r w:rsidRPr="008C1EAE">
              <w:rPr>
                <w:rFonts w:ascii="Times New Roman" w:hAnsi="Times New Roman" w:cs="Times New Roman"/>
                <w:vertAlign w:val="subscript"/>
                <w:lang w:val="es"/>
              </w:rPr>
              <w:t>2</w:t>
            </w:r>
            <w:r w:rsidRPr="008C1EAE">
              <w:rPr>
                <w:rFonts w:ascii="Times New Roman" w:hAnsi="Times New Roman" w:cs="Times New Roman"/>
                <w:lang w:val="es"/>
              </w:rPr>
              <w:t>O son volátiles y se pierden en la atmósfera.</w:t>
            </w:r>
          </w:p>
        </w:tc>
        <w:tc>
          <w:tcPr>
            <w:tcW w:w="616" w:type="dxa"/>
          </w:tcPr>
          <w:p w14:paraId="0EA86C31"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w:t>
            </w:r>
          </w:p>
        </w:tc>
      </w:tr>
      <w:tr w:rsidR="008C1EAE" w:rsidRPr="008C1EAE" w14:paraId="1DBD7E48" w14:textId="77777777" w:rsidTr="2C6C7817">
        <w:tc>
          <w:tcPr>
            <w:tcW w:w="2062" w:type="dxa"/>
          </w:tcPr>
          <w:p w14:paraId="5B672487"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Drenaje (natural)</w:t>
            </w:r>
          </w:p>
        </w:tc>
        <w:tc>
          <w:tcPr>
            <w:tcW w:w="1469" w:type="dxa"/>
          </w:tcPr>
          <w:p w14:paraId="1EF14728" w14:textId="77777777" w:rsidR="008C1EAE" w:rsidRPr="008C1EAE" w:rsidRDefault="008C1EAE" w:rsidP="002A67F8">
            <w:pPr>
              <w:jc w:val="both"/>
              <w:rPr>
                <w:rFonts w:ascii="Times New Roman" w:hAnsi="Times New Roman" w:cs="Times New Roman"/>
                <w:lang w:val="en-GB"/>
              </w:rPr>
            </w:pPr>
          </w:p>
        </w:tc>
        <w:tc>
          <w:tcPr>
            <w:tcW w:w="5615" w:type="dxa"/>
          </w:tcPr>
          <w:p w14:paraId="29438387" w14:textId="77777777" w:rsidR="008C1EAE" w:rsidRPr="008C1EAE" w:rsidRDefault="008C1EAE" w:rsidP="002A67F8">
            <w:pPr>
              <w:jc w:val="both"/>
              <w:rPr>
                <w:rFonts w:ascii="Times New Roman" w:hAnsi="Times New Roman" w:cs="Times New Roman"/>
                <w:lang w:val="es-ES"/>
              </w:rPr>
            </w:pPr>
          </w:p>
          <w:p w14:paraId="1E199C26"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La capacidad natural del perfil del suelo para drenar el exceso de agua por filtración, a diferencia del drenaje artificial que consiste generalmente en el drenaje a través de un sistema de desagües o zanjas.</w:t>
            </w:r>
          </w:p>
        </w:tc>
        <w:tc>
          <w:tcPr>
            <w:tcW w:w="616" w:type="dxa"/>
          </w:tcPr>
          <w:p w14:paraId="578829EE"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4E3A2B18" w14:textId="77777777" w:rsidTr="2C6C7817">
        <w:tc>
          <w:tcPr>
            <w:tcW w:w="2062" w:type="dxa"/>
          </w:tcPr>
          <w:p w14:paraId="09A25C70"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Edafón</w:t>
            </w:r>
          </w:p>
        </w:tc>
        <w:tc>
          <w:tcPr>
            <w:tcW w:w="1469" w:type="dxa"/>
          </w:tcPr>
          <w:p w14:paraId="34C0E4B8" w14:textId="77777777" w:rsidR="008C1EAE" w:rsidRPr="008C1EAE" w:rsidRDefault="008C1EAE" w:rsidP="002A67F8">
            <w:pPr>
              <w:jc w:val="both"/>
              <w:rPr>
                <w:rFonts w:ascii="Times New Roman" w:hAnsi="Times New Roman" w:cs="Times New Roman"/>
                <w:lang w:val="en-GB"/>
              </w:rPr>
            </w:pPr>
          </w:p>
        </w:tc>
        <w:tc>
          <w:tcPr>
            <w:tcW w:w="5615" w:type="dxa"/>
          </w:tcPr>
          <w:p w14:paraId="67132AE0"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La comunidad de organismos del suelo (por ejemplo, bacterias, hongos, nematodos, lombrices, insectos o protozoos).</w:t>
            </w:r>
          </w:p>
        </w:tc>
        <w:tc>
          <w:tcPr>
            <w:tcW w:w="616" w:type="dxa"/>
          </w:tcPr>
          <w:p w14:paraId="6560D0E1"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w:t>
            </w:r>
          </w:p>
        </w:tc>
      </w:tr>
      <w:tr w:rsidR="008C1EAE" w:rsidRPr="008C1EAE" w14:paraId="4B28EC23" w14:textId="77777777" w:rsidTr="2C6C7817">
        <w:tc>
          <w:tcPr>
            <w:tcW w:w="2062" w:type="dxa"/>
          </w:tcPr>
          <w:p w14:paraId="28940C04" w14:textId="77777777" w:rsidR="008C1EAE" w:rsidRPr="008C1EAE" w:rsidRDefault="008C1EAE" w:rsidP="00A655ED">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Enfoque holístico</w:t>
            </w:r>
          </w:p>
        </w:tc>
        <w:tc>
          <w:tcPr>
            <w:tcW w:w="1469" w:type="dxa"/>
          </w:tcPr>
          <w:p w14:paraId="529DB631" w14:textId="77777777" w:rsidR="008C1EAE" w:rsidRPr="008C1EAE" w:rsidRDefault="008C1EAE" w:rsidP="00A655ED">
            <w:pPr>
              <w:jc w:val="both"/>
              <w:rPr>
                <w:rFonts w:ascii="Times New Roman" w:hAnsi="Times New Roman" w:cs="Times New Roman"/>
                <w:lang w:val="en-GB"/>
              </w:rPr>
            </w:pPr>
          </w:p>
        </w:tc>
        <w:tc>
          <w:tcPr>
            <w:tcW w:w="5615" w:type="dxa"/>
          </w:tcPr>
          <w:p w14:paraId="07634D3F"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 xml:space="preserve">Una metodología que tiene en cuenta todo el sistema en vez de centrarse únicamente en componentes individuales. Este enfoque enfatiza la interconexión de varios elementos dentro de un sistema, pues reconoce que los cambios que se producen en un área pueden tener un impacto significativo en las demás. El enfoque holístico integra múltiples perspectivas y disciplinas para ofrecer una comprensión más completa de un problema y de su contexto. Esta metodología promueve la colaboración entre agentes y fomenta soluciones que son sostenibles y eficaces en diferentes ámbitos. A menudo se </w:t>
            </w:r>
            <w:r w:rsidRPr="008C1EAE">
              <w:rPr>
                <w:rFonts w:ascii="Times New Roman" w:hAnsi="Times New Roman" w:cs="Times New Roman"/>
                <w:lang w:val="es"/>
              </w:rPr>
              <w:lastRenderedPageBreak/>
              <w:t xml:space="preserve">utiliza en ámbitos como la sanidad, la educación, las ciencias ambientales y la política social. </w:t>
            </w:r>
          </w:p>
        </w:tc>
        <w:tc>
          <w:tcPr>
            <w:tcW w:w="616" w:type="dxa"/>
          </w:tcPr>
          <w:p w14:paraId="07971C64"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lastRenderedPageBreak/>
              <w:t>Loess</w:t>
            </w:r>
          </w:p>
        </w:tc>
      </w:tr>
      <w:tr w:rsidR="008C1EAE" w:rsidRPr="008C1EAE" w14:paraId="3CFCFE15" w14:textId="77777777" w:rsidTr="2C6C7817">
        <w:tc>
          <w:tcPr>
            <w:tcW w:w="2062" w:type="dxa"/>
          </w:tcPr>
          <w:p w14:paraId="7BF7E350" w14:textId="77777777" w:rsidR="008C1EAE" w:rsidRPr="008C1EAE" w:rsidRDefault="008C1EAE" w:rsidP="2C6C7817">
            <w:pPr>
              <w:rPr>
                <w:rFonts w:ascii="Times New Roman" w:eastAsia="Times New Roman" w:hAnsi="Times New Roman" w:cs="Times New Roman"/>
                <w:b/>
                <w:bCs/>
                <w:color w:val="3A7C22" w:themeColor="accent6" w:themeShade="BF"/>
                <w:lang w:val="en-GB"/>
              </w:rPr>
            </w:pPr>
            <w:r w:rsidRPr="008C1EAE">
              <w:rPr>
                <w:rFonts w:ascii="Times New Roman" w:eastAsia="Times New Roman" w:hAnsi="Times New Roman" w:cs="Times New Roman"/>
                <w:b/>
                <w:bCs/>
                <w:color w:val="3A7C22" w:themeColor="accent6" w:themeShade="BF"/>
                <w:lang w:val="es"/>
              </w:rPr>
              <w:t xml:space="preserve">Enfoque multisectorial </w:t>
            </w:r>
          </w:p>
        </w:tc>
        <w:tc>
          <w:tcPr>
            <w:tcW w:w="1469" w:type="dxa"/>
          </w:tcPr>
          <w:p w14:paraId="6FD863C7" w14:textId="77777777" w:rsidR="008C1EAE" w:rsidRPr="008C1EAE" w:rsidRDefault="008C1EAE" w:rsidP="00A655ED">
            <w:pPr>
              <w:jc w:val="both"/>
              <w:rPr>
                <w:rFonts w:ascii="Times New Roman" w:hAnsi="Times New Roman" w:cs="Times New Roman"/>
                <w:lang w:val="en-GB"/>
              </w:rPr>
            </w:pPr>
          </w:p>
        </w:tc>
        <w:tc>
          <w:tcPr>
            <w:tcW w:w="5615" w:type="dxa"/>
          </w:tcPr>
          <w:p w14:paraId="5B78C2E6"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La colaboración entre investigadores de distintas disciplinas para abordar un problema concreto, en la que cada disciplina aporta sus técnicas y conocimientos únicos, lo que permite obtener una comprensión más completa del problema.</w:t>
            </w:r>
            <w:r w:rsidRPr="008C1EAE">
              <w:rPr>
                <w:lang w:val="es"/>
              </w:rPr>
              <w:t xml:space="preserve"> </w:t>
            </w:r>
            <w:r w:rsidRPr="008C1EAE">
              <w:rPr>
                <w:rFonts w:ascii="Times New Roman" w:hAnsi="Times New Roman" w:cs="Times New Roman"/>
                <w:lang w:val="es"/>
              </w:rPr>
              <w:t>El nivel de integración es bajo, y las disciplinas trabajan en paralelo.</w:t>
            </w:r>
          </w:p>
        </w:tc>
        <w:tc>
          <w:tcPr>
            <w:tcW w:w="616" w:type="dxa"/>
          </w:tcPr>
          <w:p w14:paraId="42D9EA44"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32, 37</w:t>
            </w:r>
          </w:p>
        </w:tc>
      </w:tr>
      <w:tr w:rsidR="008C1EAE" w:rsidRPr="008C1EAE" w14:paraId="503C06D1" w14:textId="77777777" w:rsidTr="2C6C7817">
        <w:tc>
          <w:tcPr>
            <w:tcW w:w="2062" w:type="dxa"/>
          </w:tcPr>
          <w:p w14:paraId="50AC3B21"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Erosión del suelo</w:t>
            </w:r>
          </w:p>
        </w:tc>
        <w:tc>
          <w:tcPr>
            <w:tcW w:w="1469" w:type="dxa"/>
          </w:tcPr>
          <w:p w14:paraId="7A65301C" w14:textId="77777777" w:rsidR="008C1EAE" w:rsidRPr="008C1EAE" w:rsidRDefault="008C1EAE" w:rsidP="002A67F8">
            <w:pPr>
              <w:jc w:val="both"/>
              <w:rPr>
                <w:rFonts w:ascii="Times New Roman" w:hAnsi="Times New Roman" w:cs="Times New Roman"/>
                <w:lang w:val="en-GB"/>
              </w:rPr>
            </w:pPr>
          </w:p>
        </w:tc>
        <w:tc>
          <w:tcPr>
            <w:tcW w:w="5615" w:type="dxa"/>
          </w:tcPr>
          <w:p w14:paraId="16F39B2F" w14:textId="77777777" w:rsidR="008C1EAE" w:rsidRPr="008C1EAE" w:rsidRDefault="008C1EAE" w:rsidP="00E03E8D">
            <w:pPr>
              <w:jc w:val="both"/>
              <w:rPr>
                <w:rFonts w:ascii="Times New Roman" w:hAnsi="Times New Roman" w:cs="Times New Roman"/>
                <w:lang w:val="es-ES"/>
              </w:rPr>
            </w:pPr>
            <w:bookmarkStart w:id="1" w:name="_Hlk187700130"/>
            <w:r w:rsidRPr="008C1EAE">
              <w:rPr>
                <w:rFonts w:ascii="Times New Roman" w:hAnsi="Times New Roman" w:cs="Times New Roman"/>
                <w:lang w:val="es"/>
              </w:rPr>
              <w:t xml:space="preserve">La erosión es la remoción de tierra o suelo mediante uno o varios procesos. Entre las principales causas de erosión se encuentran las acciones del agua (regueros, cárcavas, erosión por deshielo y erosión de las riberas de ríos y lagos), del viento (desecación y daños ocasionados por el viento), de la translocación (laboreo, nivelación del terreno, cosecha de cultivos de raíces, pisoteo y animales de madriguera) y geológicas (erosión subterránea interna por aguas freáticas, erosión costera y corrimientos de tierras). La erosión también puede verse agravada por una gestión deficiente de la tierra, como el pastoreo excesivo, la deforestación o el uso inadecuado de la mecanización (por ejemplo, arar la ladera de una colina). </w:t>
            </w:r>
          </w:p>
          <w:bookmarkEnd w:id="1"/>
          <w:p w14:paraId="1A951B0A" w14:textId="77777777" w:rsidR="008C1EAE" w:rsidRPr="008C1EAE" w:rsidRDefault="008C1EAE" w:rsidP="00E03E8D">
            <w:pPr>
              <w:jc w:val="both"/>
              <w:rPr>
                <w:rFonts w:ascii="Times New Roman" w:hAnsi="Times New Roman" w:cs="Times New Roman"/>
                <w:lang w:val="es-ES"/>
              </w:rPr>
            </w:pPr>
            <w:r w:rsidRPr="008C1EAE">
              <w:rPr>
                <w:rFonts w:ascii="Times New Roman" w:hAnsi="Times New Roman" w:cs="Times New Roman"/>
                <w:lang w:val="es"/>
              </w:rPr>
              <w:t xml:space="preserve">Ejemplo de catena de erosión del suelo según </w:t>
            </w:r>
            <w:r w:rsidRPr="008C1EAE">
              <w:rPr>
                <w:rFonts w:ascii="Times New Roman" w:hAnsi="Times New Roman" w:cs="Times New Roman"/>
                <w:color w:val="000000" w:themeColor="text1"/>
                <w:lang w:val="es"/>
              </w:rPr>
              <w:t xml:space="preserve">Radziuk y Świtoniak (2022; </w:t>
            </w:r>
            <w:r w:rsidRPr="008C1EAE">
              <w:rPr>
                <w:rFonts w:ascii="Times New Roman" w:hAnsi="Times New Roman" w:cs="Times New Roman"/>
                <w:lang w:val="es"/>
              </w:rPr>
              <w:t>6).</w:t>
            </w:r>
          </w:p>
          <w:p w14:paraId="653B149D" w14:textId="77777777" w:rsidR="008C1EAE" w:rsidRPr="008C1EAE" w:rsidRDefault="008C1EAE" w:rsidP="00E03E8D">
            <w:pPr>
              <w:jc w:val="both"/>
              <w:rPr>
                <w:rFonts w:ascii="Times New Roman" w:hAnsi="Times New Roman" w:cs="Times New Roman"/>
                <w:lang w:val="es-ES"/>
              </w:rPr>
            </w:pPr>
          </w:p>
          <w:p w14:paraId="2692BDE7" w14:textId="77777777" w:rsidR="008C1EAE" w:rsidRPr="008C1EAE" w:rsidRDefault="008C1EAE" w:rsidP="002A67F8">
            <w:pPr>
              <w:jc w:val="both"/>
              <w:rPr>
                <w:rFonts w:ascii="Times New Roman" w:hAnsi="Times New Roman" w:cs="Times New Roman"/>
                <w:lang w:val="en-GB"/>
              </w:rPr>
            </w:pPr>
            <w:r w:rsidRPr="008C1EAE">
              <w:rPr>
                <w:rFonts w:ascii="Times New Roman" w:hAnsi="Times New Roman" w:cs="Times New Roman"/>
                <w:noProof/>
                <w:lang w:val="es"/>
              </w:rPr>
              <w:drawing>
                <wp:inline distT="0" distB="0" distL="0" distR="0" wp14:anchorId="1EBAB6B7" wp14:editId="7C005AA7">
                  <wp:extent cx="3393110" cy="3214756"/>
                  <wp:effectExtent l="0" t="0" r="0" b="0"/>
                  <wp:docPr id="14751761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1980" cy="3223160"/>
                          </a:xfrm>
                          <a:prstGeom prst="rect">
                            <a:avLst/>
                          </a:prstGeom>
                        </pic:spPr>
                      </pic:pic>
                    </a:graphicData>
                  </a:graphic>
                </wp:inline>
              </w:drawing>
            </w:r>
          </w:p>
          <w:p w14:paraId="668C0BDA" w14:textId="77777777" w:rsidR="008C1EAE" w:rsidRPr="008C1EAE" w:rsidRDefault="008C1EAE" w:rsidP="002A67F8">
            <w:pPr>
              <w:jc w:val="both"/>
              <w:rPr>
                <w:rStyle w:val="Hipervnculo"/>
                <w:rFonts w:ascii="Times New Roman" w:hAnsi="Times New Roman" w:cs="Times New Roman"/>
                <w:color w:val="000000" w:themeColor="text1"/>
                <w:u w:val="none"/>
              </w:rPr>
            </w:pPr>
            <w:r w:rsidRPr="008C1EAE">
              <w:rPr>
                <w:rFonts w:ascii="Times New Roman" w:hAnsi="Times New Roman" w:cs="Times New Roman"/>
              </w:rPr>
              <w:t>Fuente:</w:t>
            </w:r>
            <w:r w:rsidRPr="008C1EAE">
              <w:rPr>
                <w:rFonts w:ascii="Times New Roman" w:hAnsi="Times New Roman" w:cs="Times New Roman"/>
                <w:color w:val="000000" w:themeColor="text1"/>
              </w:rPr>
              <w:t xml:space="preserve"> Radziuk y Świtoniak. 2022. Agronomy (MDPI), </w:t>
            </w:r>
            <w:r w:rsidRPr="008C1EAE">
              <w:fldChar w:fldCharType="begin"/>
            </w:r>
            <w:r w:rsidRPr="008C1EAE">
              <w:instrText>HYPERLINK "https://doi.org/10.3390/agronomy12112595"</w:instrText>
            </w:r>
            <w:r w:rsidRPr="008C1EAE">
              <w:fldChar w:fldCharType="separate"/>
            </w:r>
            <w:r w:rsidRPr="008C1EAE">
              <w:rPr>
                <w:rStyle w:val="Hipervnculo"/>
                <w:rFonts w:ascii="Times New Roman" w:hAnsi="Times New Roman" w:cs="Times New Roman"/>
                <w:color w:val="000000" w:themeColor="text1"/>
                <w:u w:val="none"/>
              </w:rPr>
              <w:t>https://doi.org/10.3390/agronomy12112595</w:t>
            </w:r>
            <w:r w:rsidRPr="008C1EAE">
              <w:fldChar w:fldCharType="end"/>
            </w:r>
          </w:p>
          <w:p w14:paraId="25AF883B" w14:textId="77777777" w:rsidR="008C1EAE" w:rsidRPr="008C1EAE" w:rsidRDefault="008C1EAE" w:rsidP="002A67F8">
            <w:pPr>
              <w:jc w:val="both"/>
              <w:rPr>
                <w:rFonts w:ascii="Times New Roman" w:hAnsi="Times New Roman" w:cs="Times New Roman"/>
              </w:rPr>
            </w:pPr>
          </w:p>
        </w:tc>
        <w:tc>
          <w:tcPr>
            <w:tcW w:w="616" w:type="dxa"/>
          </w:tcPr>
          <w:p w14:paraId="5A0A17B3"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13,6</w:t>
            </w:r>
          </w:p>
        </w:tc>
      </w:tr>
      <w:tr w:rsidR="008C1EAE" w:rsidRPr="008C1EAE" w14:paraId="7C029CD6" w14:textId="77777777" w:rsidTr="2C6C7817">
        <w:tc>
          <w:tcPr>
            <w:tcW w:w="2062" w:type="dxa"/>
          </w:tcPr>
          <w:p w14:paraId="29DE6322"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Estiércol</w:t>
            </w:r>
          </w:p>
        </w:tc>
        <w:tc>
          <w:tcPr>
            <w:tcW w:w="1469" w:type="dxa"/>
          </w:tcPr>
          <w:p w14:paraId="538DD5B5" w14:textId="77777777" w:rsidR="008C1EAE" w:rsidRPr="008C1EAE" w:rsidRDefault="008C1EAE" w:rsidP="00525540">
            <w:pPr>
              <w:jc w:val="both"/>
              <w:rPr>
                <w:rFonts w:ascii="Times New Roman" w:hAnsi="Times New Roman" w:cs="Times New Roman"/>
                <w:lang w:val="en-GB"/>
              </w:rPr>
            </w:pPr>
          </w:p>
        </w:tc>
        <w:tc>
          <w:tcPr>
            <w:tcW w:w="5615" w:type="dxa"/>
          </w:tcPr>
          <w:p w14:paraId="034C701A"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El estiércol es un tipo de fertilización compuesto por excrementos de ganado, ya sea como único material o mezclados con material de cama.</w:t>
            </w:r>
          </w:p>
        </w:tc>
        <w:tc>
          <w:tcPr>
            <w:tcW w:w="616" w:type="dxa"/>
          </w:tcPr>
          <w:p w14:paraId="267545C7"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w:t>
            </w:r>
          </w:p>
        </w:tc>
      </w:tr>
      <w:tr w:rsidR="008C1EAE" w:rsidRPr="008C1EAE" w14:paraId="7336477D" w14:textId="77777777" w:rsidTr="2C6C7817">
        <w:tc>
          <w:tcPr>
            <w:tcW w:w="2062" w:type="dxa"/>
          </w:tcPr>
          <w:p w14:paraId="0B47C1C5"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Estiércol verde</w:t>
            </w:r>
          </w:p>
        </w:tc>
        <w:tc>
          <w:tcPr>
            <w:tcW w:w="1469" w:type="dxa"/>
          </w:tcPr>
          <w:p w14:paraId="5AE15824" w14:textId="77777777" w:rsidR="008C1EAE" w:rsidRPr="008C1EAE" w:rsidRDefault="008C1EAE" w:rsidP="00525540">
            <w:pPr>
              <w:jc w:val="both"/>
              <w:rPr>
                <w:rFonts w:ascii="Times New Roman" w:hAnsi="Times New Roman" w:cs="Times New Roman"/>
                <w:lang w:val="en-GB"/>
              </w:rPr>
            </w:pPr>
          </w:p>
        </w:tc>
        <w:tc>
          <w:tcPr>
            <w:tcW w:w="5615" w:type="dxa"/>
          </w:tcPr>
          <w:p w14:paraId="11FF320D"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Cultivo no cosechado que se siembra entre dos temporadas de cultivos principales con el objetivo de mejorar la fertilidad del suelo y que generalmente, no crece bajo limitaciones de nitrógeno (N) debido al uso de fertilizantes y estiércol, o a su capacidad de fijar N atmosférico.</w:t>
            </w:r>
          </w:p>
        </w:tc>
        <w:tc>
          <w:tcPr>
            <w:tcW w:w="616" w:type="dxa"/>
          </w:tcPr>
          <w:p w14:paraId="062FCF74"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22A39BE3" w14:textId="77777777" w:rsidTr="2C6C7817">
        <w:tc>
          <w:tcPr>
            <w:tcW w:w="2062" w:type="dxa"/>
          </w:tcPr>
          <w:p w14:paraId="04618904"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lastRenderedPageBreak/>
              <w:t>Eutrofización</w:t>
            </w:r>
          </w:p>
        </w:tc>
        <w:tc>
          <w:tcPr>
            <w:tcW w:w="1469" w:type="dxa"/>
          </w:tcPr>
          <w:p w14:paraId="2CD202A5" w14:textId="77777777" w:rsidR="008C1EAE" w:rsidRPr="008C1EAE" w:rsidRDefault="008C1EAE" w:rsidP="002A67F8">
            <w:pPr>
              <w:jc w:val="both"/>
              <w:rPr>
                <w:rFonts w:ascii="Times New Roman" w:hAnsi="Times New Roman" w:cs="Times New Roman"/>
                <w:lang w:val="en-GB"/>
              </w:rPr>
            </w:pPr>
          </w:p>
        </w:tc>
        <w:tc>
          <w:tcPr>
            <w:tcW w:w="5615" w:type="dxa"/>
          </w:tcPr>
          <w:p w14:paraId="0FBC4385"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El proceso mediante el cual una masa de agua, como un lago o una solución del suelo, se enriquece con nutrientes disueltos. Aunque puede ser natural, a menudo se debe a la contaminación. La eutrofización puede dar lugar a la proliferación de algas que, finalmente, favorecen unas condiciones anaeróbicas que pueden ser perjudiciales para la vida de los peces.</w:t>
            </w:r>
          </w:p>
        </w:tc>
        <w:tc>
          <w:tcPr>
            <w:tcW w:w="616" w:type="dxa"/>
          </w:tcPr>
          <w:p w14:paraId="4476F50C"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5D8C9020" w14:textId="77777777" w:rsidTr="2C6C7817">
        <w:tc>
          <w:tcPr>
            <w:tcW w:w="2062" w:type="dxa"/>
          </w:tcPr>
          <w:p w14:paraId="79A014B9"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Evapotranspiración</w:t>
            </w:r>
          </w:p>
        </w:tc>
        <w:tc>
          <w:tcPr>
            <w:tcW w:w="1469" w:type="dxa"/>
          </w:tcPr>
          <w:p w14:paraId="0D48056E" w14:textId="77777777" w:rsidR="008C1EAE" w:rsidRPr="008C1EAE" w:rsidRDefault="008C1EAE" w:rsidP="002A67F8">
            <w:pPr>
              <w:jc w:val="both"/>
              <w:rPr>
                <w:rFonts w:ascii="Times New Roman" w:hAnsi="Times New Roman" w:cs="Times New Roman"/>
                <w:color w:val="3A7C22" w:themeColor="accent6" w:themeShade="BF"/>
                <w:lang w:val="en-GB"/>
              </w:rPr>
            </w:pPr>
          </w:p>
        </w:tc>
        <w:tc>
          <w:tcPr>
            <w:tcW w:w="5615" w:type="dxa"/>
          </w:tcPr>
          <w:p w14:paraId="1F050921"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El proceso por el cual el agua pasa de un estado líquido a un estado de vapor (gaseoso) a través de la transpiración de la vegetación y la evaporación de las superficies del suelo y de las plantas. La tasa de evapotranspiración se expresa normalmente en mm día-¹. Se puede diferenciar entre la evapotranspiración potencial cuando la disponibilidad de agua es ilimitada y la evapotranspiración real cuando la disponibilidad es limitada.</w:t>
            </w:r>
          </w:p>
        </w:tc>
        <w:tc>
          <w:tcPr>
            <w:tcW w:w="616" w:type="dxa"/>
          </w:tcPr>
          <w:p w14:paraId="1F3C0B5C"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09DC8B91" w14:textId="77777777" w:rsidTr="2C6C7817">
        <w:tc>
          <w:tcPr>
            <w:tcW w:w="2062" w:type="dxa"/>
          </w:tcPr>
          <w:p w14:paraId="7482154E" w14:textId="77777777" w:rsidR="008C1EAE" w:rsidRPr="008C1EAE" w:rsidRDefault="008C1EAE" w:rsidP="002A67F8">
            <w:pPr>
              <w:rPr>
                <w:rFonts w:ascii="Times New Roman" w:hAnsi="Times New Roman" w:cs="Times New Roman"/>
                <w:b/>
                <w:color w:val="D86DCB" w:themeColor="accent5" w:themeTint="99"/>
                <w:lang w:val="en-GB"/>
              </w:rPr>
            </w:pPr>
            <w:proofErr w:type="spellStart"/>
            <w:r w:rsidRPr="008C1EAE">
              <w:rPr>
                <w:rFonts w:ascii="Times New Roman" w:hAnsi="Times New Roman" w:cs="Times New Roman"/>
                <w:b/>
                <w:color w:val="3A7C22" w:themeColor="accent6" w:themeShade="BF"/>
                <w:lang w:val="es"/>
              </w:rPr>
              <w:t>Extensificación</w:t>
            </w:r>
            <w:proofErr w:type="spellEnd"/>
          </w:p>
        </w:tc>
        <w:tc>
          <w:tcPr>
            <w:tcW w:w="1469" w:type="dxa"/>
          </w:tcPr>
          <w:p w14:paraId="3D7850F0" w14:textId="77777777" w:rsidR="008C1EAE" w:rsidRPr="008C1EAE" w:rsidRDefault="008C1EAE" w:rsidP="002A67F8">
            <w:pPr>
              <w:jc w:val="both"/>
              <w:rPr>
                <w:rFonts w:ascii="Times New Roman" w:hAnsi="Times New Roman" w:cs="Times New Roman"/>
                <w:lang w:val="en-GB"/>
              </w:rPr>
            </w:pPr>
          </w:p>
        </w:tc>
        <w:tc>
          <w:tcPr>
            <w:tcW w:w="5615" w:type="dxa"/>
          </w:tcPr>
          <w:p w14:paraId="4BC5EDEA"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 xml:space="preserve">El proceso por el que se reduce el uso de capital e insumos (por ejemplo, fertilizantes, pesticidas, maquinaria y energía) con respecto a la superficie de tierra. Debido a la disminución de los insumos por superficie, la presión sobre el medioambiente puede disminuir. Una disminución en el uso de pesticidas, por ejemplo, es probable que disminuya el riesgo de escorrentía de pesticidas en aguas superficiales y freáticas («pérdida por unidad de área»). Sin embargo, el efecto real de una disminución en el uso de insumos sobre el medioambiente no solo depende de la cantidad de insumos utilizados, sino también de la forma en la que se aplican y la medida en la que la reducción de insumos conduce a una menor producción («pérdida por unidad producida»). Por lo tanto, la </w:t>
            </w:r>
            <w:proofErr w:type="spellStart"/>
            <w:r w:rsidRPr="008C1EAE">
              <w:rPr>
                <w:rFonts w:ascii="Times New Roman" w:hAnsi="Times New Roman" w:cs="Times New Roman"/>
                <w:lang w:val="es"/>
              </w:rPr>
              <w:t>extensificación</w:t>
            </w:r>
            <w:proofErr w:type="spellEnd"/>
            <w:r w:rsidRPr="008C1EAE">
              <w:rPr>
                <w:rFonts w:ascii="Times New Roman" w:hAnsi="Times New Roman" w:cs="Times New Roman"/>
                <w:lang w:val="es"/>
              </w:rPr>
              <w:t xml:space="preserve"> no conduce necesariamente a una situación ambientalmente más benévola.</w:t>
            </w:r>
          </w:p>
        </w:tc>
        <w:tc>
          <w:tcPr>
            <w:tcW w:w="616" w:type="dxa"/>
          </w:tcPr>
          <w:p w14:paraId="034504FA"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09F20B0E" w14:textId="77777777" w:rsidTr="2C6C7817">
        <w:tc>
          <w:tcPr>
            <w:tcW w:w="2062" w:type="dxa"/>
          </w:tcPr>
          <w:p w14:paraId="6CE2FB9D"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Fertilidad del suelo</w:t>
            </w:r>
          </w:p>
        </w:tc>
        <w:tc>
          <w:tcPr>
            <w:tcW w:w="1469" w:type="dxa"/>
          </w:tcPr>
          <w:p w14:paraId="5ADBA0DF" w14:textId="77777777" w:rsidR="008C1EAE" w:rsidRPr="008C1EAE" w:rsidRDefault="008C1EAE" w:rsidP="00525540">
            <w:pPr>
              <w:jc w:val="both"/>
              <w:rPr>
                <w:rFonts w:ascii="Times New Roman" w:hAnsi="Times New Roman" w:cs="Times New Roman"/>
                <w:lang w:val="en-GB"/>
              </w:rPr>
            </w:pPr>
          </w:p>
        </w:tc>
        <w:tc>
          <w:tcPr>
            <w:tcW w:w="5615" w:type="dxa"/>
          </w:tcPr>
          <w:p w14:paraId="36B77CD4"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La capacidad del suelo para suministrar nutrientes esenciales y agua del suelo en cantidades y proporciones adecuadas para el crecimiento y la reproducción de las plantas. Se caracteriza por sus propiedades químicas, físicas y biológicas favorables como hábitat para el crecimiento de las plantas.</w:t>
            </w:r>
          </w:p>
        </w:tc>
        <w:tc>
          <w:tcPr>
            <w:tcW w:w="616" w:type="dxa"/>
          </w:tcPr>
          <w:p w14:paraId="383CA77C"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2, 4</w:t>
            </w:r>
          </w:p>
        </w:tc>
      </w:tr>
      <w:tr w:rsidR="008C1EAE" w:rsidRPr="008C1EAE" w14:paraId="19B2E0AF" w14:textId="77777777" w:rsidTr="2C6C7817">
        <w:tc>
          <w:tcPr>
            <w:tcW w:w="2062" w:type="dxa"/>
          </w:tcPr>
          <w:p w14:paraId="259EC4BF"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Fertilización</w:t>
            </w:r>
          </w:p>
        </w:tc>
        <w:tc>
          <w:tcPr>
            <w:tcW w:w="1469" w:type="dxa"/>
          </w:tcPr>
          <w:p w14:paraId="56EE90C0" w14:textId="77777777" w:rsidR="008C1EAE" w:rsidRPr="008C1EAE" w:rsidRDefault="008C1EAE" w:rsidP="00525540">
            <w:pPr>
              <w:jc w:val="both"/>
              <w:rPr>
                <w:rFonts w:ascii="Times New Roman" w:hAnsi="Times New Roman" w:cs="Times New Roman"/>
                <w:lang w:val="en-GB"/>
              </w:rPr>
            </w:pPr>
          </w:p>
        </w:tc>
        <w:tc>
          <w:tcPr>
            <w:tcW w:w="5615" w:type="dxa"/>
          </w:tcPr>
          <w:p w14:paraId="19340CE4"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La aplicación de compuestos minerales u orgánicos para mantener o aumentar la fertilidad del suelo. En algunos casos (por ejemplo, el encalado), el objetivo de la fertilización es también mejorar las propiedades específicas del suelo (pH, estabilidad de la estructura del suelo).</w:t>
            </w:r>
          </w:p>
        </w:tc>
        <w:tc>
          <w:tcPr>
            <w:tcW w:w="616" w:type="dxa"/>
          </w:tcPr>
          <w:p w14:paraId="7CDF32F5"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w:t>
            </w:r>
          </w:p>
        </w:tc>
      </w:tr>
      <w:tr w:rsidR="008C1EAE" w:rsidRPr="008C1EAE" w14:paraId="6E205E81" w14:textId="77777777" w:rsidTr="2C6C7817">
        <w:tc>
          <w:tcPr>
            <w:tcW w:w="2062" w:type="dxa"/>
          </w:tcPr>
          <w:p w14:paraId="7E6260D4"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Fertilizante orgánico</w:t>
            </w:r>
          </w:p>
        </w:tc>
        <w:tc>
          <w:tcPr>
            <w:tcW w:w="1469" w:type="dxa"/>
          </w:tcPr>
          <w:p w14:paraId="1F299B41" w14:textId="77777777" w:rsidR="008C1EAE" w:rsidRPr="008C1EAE" w:rsidRDefault="008C1EAE" w:rsidP="00525540">
            <w:pPr>
              <w:jc w:val="both"/>
              <w:rPr>
                <w:rFonts w:ascii="Times New Roman" w:hAnsi="Times New Roman" w:cs="Times New Roman"/>
                <w:lang w:val="en-GB"/>
              </w:rPr>
            </w:pPr>
          </w:p>
        </w:tc>
        <w:tc>
          <w:tcPr>
            <w:tcW w:w="5615" w:type="dxa"/>
          </w:tcPr>
          <w:p w14:paraId="1A35D85E"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 xml:space="preserve">Los fertilizantes que se componen de materiales de origen vegetal o animal que provienen de subproductos o productos finales de procesos de origen natural, como el estiércol animal y la materia orgánica compostada. </w:t>
            </w:r>
          </w:p>
        </w:tc>
        <w:tc>
          <w:tcPr>
            <w:tcW w:w="616" w:type="dxa"/>
          </w:tcPr>
          <w:p w14:paraId="1EBA5A21"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w:t>
            </w:r>
          </w:p>
        </w:tc>
      </w:tr>
      <w:tr w:rsidR="008C1EAE" w:rsidRPr="008C1EAE" w14:paraId="6A7F7B25" w14:textId="77777777" w:rsidTr="2C6C7817">
        <w:tc>
          <w:tcPr>
            <w:tcW w:w="2062" w:type="dxa"/>
          </w:tcPr>
          <w:p w14:paraId="6AD675BE"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Funciones del suelo</w:t>
            </w:r>
          </w:p>
        </w:tc>
        <w:tc>
          <w:tcPr>
            <w:tcW w:w="1469" w:type="dxa"/>
          </w:tcPr>
          <w:p w14:paraId="406FF608" w14:textId="77777777" w:rsidR="008C1EAE" w:rsidRPr="008C1EAE" w:rsidRDefault="008C1EAE" w:rsidP="00525540">
            <w:pPr>
              <w:jc w:val="both"/>
              <w:rPr>
                <w:rFonts w:ascii="Times New Roman" w:hAnsi="Times New Roman" w:cs="Times New Roman"/>
                <w:lang w:val="en-GB"/>
              </w:rPr>
            </w:pPr>
          </w:p>
        </w:tc>
        <w:tc>
          <w:tcPr>
            <w:tcW w:w="5615" w:type="dxa"/>
          </w:tcPr>
          <w:p w14:paraId="223E5C10" w14:textId="77777777" w:rsidR="008C1EAE" w:rsidRPr="008C1EAE" w:rsidRDefault="008C1EAE" w:rsidP="00525540">
            <w:pPr>
              <w:jc w:val="both"/>
              <w:rPr>
                <w:rFonts w:ascii="Times New Roman" w:hAnsi="Times New Roman" w:cs="Times New Roman"/>
                <w:lang w:val="en-GB"/>
              </w:rPr>
            </w:pPr>
            <w:r w:rsidRPr="008C1EAE">
              <w:rPr>
                <w:rFonts w:ascii="Times New Roman" w:hAnsi="Times New Roman" w:cs="Times New Roman"/>
                <w:lang w:val="es"/>
              </w:rPr>
              <w:t>Las funciones de los ecosistemas están asociadas al suelo de forma directa e indirecta. Los suelos desempeñan muchas funciones, y los suelos sanos nos ofrecen aire y agua limpios, cultivos y bosques abundantes, pastizales productivos, una fauna diversa y preciosos paisajes. El suelo hace todo esto desempeñando cinco funciones básicas:</w:t>
            </w:r>
          </w:p>
          <w:p w14:paraId="4D5E8C68" w14:textId="77777777" w:rsidR="008C1EAE" w:rsidRPr="008C1EAE" w:rsidRDefault="008C1EAE" w:rsidP="00525540">
            <w:pPr>
              <w:pStyle w:val="Prrafodelista"/>
              <w:numPr>
                <w:ilvl w:val="0"/>
                <w:numId w:val="2"/>
              </w:numPr>
              <w:ind w:left="244" w:hanging="244"/>
              <w:jc w:val="both"/>
              <w:rPr>
                <w:rFonts w:ascii="Times New Roman" w:hAnsi="Times New Roman" w:cs="Times New Roman"/>
                <w:lang w:val="es-ES"/>
              </w:rPr>
            </w:pPr>
            <w:r w:rsidRPr="008C1EAE">
              <w:rPr>
                <w:rFonts w:ascii="Times New Roman" w:hAnsi="Times New Roman" w:cs="Times New Roman"/>
                <w:lang w:val="es"/>
              </w:rPr>
              <w:t xml:space="preserve">Ciclo de nutrientes: el suelo almacena, modera la liberación y permite el ciclo de nutrientes y otros elementos. Durante estos procesos biogeoquímicos, análogos al ciclo del agua, los nutrientes se pueden transformar en formas disponibles </w:t>
            </w:r>
            <w:r w:rsidRPr="008C1EAE">
              <w:rPr>
                <w:rFonts w:ascii="Times New Roman" w:hAnsi="Times New Roman" w:cs="Times New Roman"/>
                <w:lang w:val="es"/>
              </w:rPr>
              <w:lastRenderedPageBreak/>
              <w:t>para las plantas, quedar retenidos en el suelo o incluso perderse en el aire o el agua.</w:t>
            </w:r>
          </w:p>
          <w:p w14:paraId="3F3D4D45" w14:textId="77777777" w:rsidR="008C1EAE" w:rsidRPr="008C1EAE" w:rsidRDefault="008C1EAE" w:rsidP="00525540">
            <w:pPr>
              <w:pStyle w:val="Prrafodelista"/>
              <w:numPr>
                <w:ilvl w:val="0"/>
                <w:numId w:val="2"/>
              </w:numPr>
              <w:ind w:left="244" w:hanging="244"/>
              <w:jc w:val="both"/>
              <w:rPr>
                <w:rFonts w:ascii="Times New Roman" w:hAnsi="Times New Roman" w:cs="Times New Roman"/>
                <w:lang w:val="es-ES"/>
              </w:rPr>
            </w:pPr>
            <w:r w:rsidRPr="008C1EAE">
              <w:rPr>
                <w:rFonts w:ascii="Times New Roman" w:hAnsi="Times New Roman" w:cs="Times New Roman"/>
                <w:lang w:val="es"/>
              </w:rPr>
              <w:t>Relaciones hídricas: el suelo puede regular el drenaje, el flujo y el almacenamiento de agua y solutos, lo que incluye nitrógeno, fósforo, pesticidas y otros nutrientes y compuestos disueltos en el agua. Con un funcionamiento adecuado, el suelo reparte el agua para recargar las aguas freáticas y para que la utilicen las plantas y los animales del suelo.</w:t>
            </w:r>
          </w:p>
          <w:p w14:paraId="2DCA2197" w14:textId="77777777" w:rsidR="008C1EAE" w:rsidRPr="008C1EAE" w:rsidRDefault="008C1EAE" w:rsidP="00525540">
            <w:pPr>
              <w:pStyle w:val="Prrafodelista"/>
              <w:numPr>
                <w:ilvl w:val="0"/>
                <w:numId w:val="2"/>
              </w:numPr>
              <w:ind w:left="244" w:hanging="244"/>
              <w:jc w:val="both"/>
              <w:rPr>
                <w:rFonts w:ascii="Times New Roman" w:hAnsi="Times New Roman" w:cs="Times New Roman"/>
                <w:lang w:val="es-ES"/>
              </w:rPr>
            </w:pPr>
            <w:r w:rsidRPr="008C1EAE">
              <w:rPr>
                <w:rFonts w:ascii="Times New Roman" w:hAnsi="Times New Roman" w:cs="Times New Roman"/>
                <w:lang w:val="es"/>
              </w:rPr>
              <w:t>Biodiversidad y hábitat: el suelo favorece el crecimiento de una gran variedad de plantas, animales y microorganismos del suelo, normalmente gracias a la diversidad de su hábitat físico, químico y biológico.</w:t>
            </w:r>
          </w:p>
          <w:p w14:paraId="3E77694F" w14:textId="77777777" w:rsidR="008C1EAE" w:rsidRPr="008C1EAE" w:rsidRDefault="008C1EAE" w:rsidP="00525540">
            <w:pPr>
              <w:pStyle w:val="Prrafodelista"/>
              <w:numPr>
                <w:ilvl w:val="0"/>
                <w:numId w:val="2"/>
              </w:numPr>
              <w:ind w:left="244" w:hanging="244"/>
              <w:jc w:val="both"/>
              <w:rPr>
                <w:rFonts w:ascii="Times New Roman" w:hAnsi="Times New Roman" w:cs="Times New Roman"/>
                <w:lang w:val="es-ES"/>
              </w:rPr>
            </w:pPr>
            <w:r w:rsidRPr="008C1EAE">
              <w:rPr>
                <w:rFonts w:ascii="Times New Roman" w:hAnsi="Times New Roman" w:cs="Times New Roman"/>
                <w:lang w:val="es"/>
              </w:rPr>
              <w:t>Filtrado y amortiguación: el suelo actúa como un filtro para proteger la calidad del agua, el aire y otros recursos. Los compuestos tóxicos o los nutrientes en exceso pueden ser neutralizados, transformados o, de lo contrario, fijados como no disponibles para las plantas y los animales.</w:t>
            </w:r>
          </w:p>
          <w:p w14:paraId="060FD22C" w14:textId="77777777" w:rsidR="008C1EAE" w:rsidRPr="008C1EAE" w:rsidRDefault="008C1EAE" w:rsidP="00B22A51">
            <w:pPr>
              <w:pStyle w:val="Prrafodelista"/>
              <w:numPr>
                <w:ilvl w:val="0"/>
                <w:numId w:val="2"/>
              </w:numPr>
              <w:ind w:left="282" w:hanging="282"/>
              <w:jc w:val="both"/>
              <w:rPr>
                <w:rFonts w:ascii="Times New Roman" w:hAnsi="Times New Roman" w:cs="Times New Roman"/>
                <w:lang w:val="es-ES"/>
              </w:rPr>
            </w:pPr>
            <w:r w:rsidRPr="008C1EAE">
              <w:rPr>
                <w:rFonts w:ascii="Times New Roman" w:hAnsi="Times New Roman" w:cs="Times New Roman"/>
                <w:lang w:val="es"/>
              </w:rPr>
              <w:t>Estabilidad física y soporte: el suelo tiene la capacidad de mantener su estructura porosa y regular el paso de aire, gases y agua, resistir fuerzas erosivas, soportar cargas pesadas y ofrecer un medio para las raíces de las plantas.</w:t>
            </w:r>
          </w:p>
        </w:tc>
        <w:tc>
          <w:tcPr>
            <w:tcW w:w="616" w:type="dxa"/>
          </w:tcPr>
          <w:p w14:paraId="27FE86A0"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lastRenderedPageBreak/>
              <w:t>7</w:t>
            </w:r>
          </w:p>
        </w:tc>
      </w:tr>
      <w:tr w:rsidR="008C1EAE" w:rsidRPr="008C1EAE" w14:paraId="6960E22F" w14:textId="77777777" w:rsidTr="2C6C7817">
        <w:tc>
          <w:tcPr>
            <w:tcW w:w="2062" w:type="dxa"/>
          </w:tcPr>
          <w:p w14:paraId="37A41E2C" w14:textId="77777777" w:rsidR="008C1EAE" w:rsidRPr="008C1EAE" w:rsidRDefault="008C1EAE" w:rsidP="00A655ED">
            <w:pPr>
              <w:rPr>
                <w:rFonts w:ascii="Times New Roman" w:hAnsi="Times New Roman" w:cs="Times New Roman"/>
                <w:b/>
                <w:color w:val="BF4E14" w:themeColor="accent2" w:themeShade="BF"/>
                <w:lang w:val="en-GB"/>
              </w:rPr>
            </w:pPr>
            <w:r w:rsidRPr="008C1EAE">
              <w:rPr>
                <w:rFonts w:ascii="Times New Roman" w:hAnsi="Times New Roman" w:cs="Times New Roman"/>
                <w:b/>
                <w:color w:val="3A7C22" w:themeColor="accent6" w:themeShade="BF"/>
                <w:lang w:val="es"/>
              </w:rPr>
              <w:t>Génesis del suelo</w:t>
            </w:r>
          </w:p>
        </w:tc>
        <w:tc>
          <w:tcPr>
            <w:tcW w:w="1469" w:type="dxa"/>
          </w:tcPr>
          <w:p w14:paraId="2E264EC2" w14:textId="77777777" w:rsidR="008C1EAE" w:rsidRPr="008C1EAE" w:rsidRDefault="008C1EAE" w:rsidP="00A655ED">
            <w:pPr>
              <w:jc w:val="both"/>
              <w:rPr>
                <w:rFonts w:ascii="Times New Roman" w:hAnsi="Times New Roman" w:cs="Times New Roman"/>
                <w:lang w:val="en-GB"/>
              </w:rPr>
            </w:pPr>
          </w:p>
        </w:tc>
        <w:tc>
          <w:tcPr>
            <w:tcW w:w="5615" w:type="dxa"/>
          </w:tcPr>
          <w:p w14:paraId="0EA83AFA"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El proceso de transformación de materiales rocosos en perfiles de suelo. Los suelos se forman bajo la influencia de los principales elementos del medio natural, es decir, los materiales parentales, el relieve, el clima, los organismos vivos y el tiempo (</w:t>
            </w:r>
            <w:proofErr w:type="spellStart"/>
            <w:r w:rsidRPr="008C1EAE">
              <w:rPr>
                <w:rFonts w:ascii="Times New Roman" w:hAnsi="Times New Roman" w:cs="Times New Roman"/>
                <w:lang w:val="es"/>
              </w:rPr>
              <w:t>Dokuchaev</w:t>
            </w:r>
            <w:proofErr w:type="spellEnd"/>
            <w:r w:rsidRPr="008C1EAE">
              <w:rPr>
                <w:rFonts w:ascii="Times New Roman" w:hAnsi="Times New Roman" w:cs="Times New Roman"/>
                <w:lang w:val="es"/>
              </w:rPr>
              <w:t>, 1883) y bajo la influencia de la actividad de los seres humanos. Estos factores de formación del suelo actúan de forma conjunta, y la morfología y las propiedades de cada suelo dependen de la disposición local de estos factores.</w:t>
            </w:r>
          </w:p>
        </w:tc>
        <w:tc>
          <w:tcPr>
            <w:tcW w:w="616" w:type="dxa"/>
          </w:tcPr>
          <w:p w14:paraId="66EB3BC5"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15</w:t>
            </w:r>
          </w:p>
        </w:tc>
      </w:tr>
      <w:tr w:rsidR="008C1EAE" w:rsidRPr="008C1EAE" w14:paraId="276CB90D" w14:textId="77777777" w:rsidTr="2C6C7817">
        <w:tc>
          <w:tcPr>
            <w:tcW w:w="2062" w:type="dxa"/>
          </w:tcPr>
          <w:p w14:paraId="44D21B50" w14:textId="77777777" w:rsidR="008C1EAE" w:rsidRPr="008C1EAE" w:rsidRDefault="008C1EAE" w:rsidP="002A67F8">
            <w:pPr>
              <w:rPr>
                <w:rFonts w:ascii="Times New Roman" w:hAnsi="Times New Roman" w:cs="Times New Roman"/>
                <w:b/>
                <w:color w:val="3A7C22" w:themeColor="accent6" w:themeShade="BF"/>
                <w:lang w:val="es-ES"/>
              </w:rPr>
            </w:pPr>
            <w:r w:rsidRPr="008C1EAE">
              <w:rPr>
                <w:rFonts w:ascii="Times New Roman" w:hAnsi="Times New Roman" w:cs="Times New Roman"/>
                <w:b/>
                <w:color w:val="3A7C22" w:themeColor="accent6" w:themeShade="BF"/>
                <w:lang w:val="es"/>
              </w:rPr>
              <w:t>Gestión del carbono del suelo</w:t>
            </w:r>
          </w:p>
        </w:tc>
        <w:tc>
          <w:tcPr>
            <w:tcW w:w="1469" w:type="dxa"/>
          </w:tcPr>
          <w:p w14:paraId="4B6E97AA" w14:textId="77777777" w:rsidR="008C1EAE" w:rsidRPr="008C1EAE" w:rsidRDefault="008C1EAE" w:rsidP="002A67F8">
            <w:pPr>
              <w:jc w:val="both"/>
              <w:rPr>
                <w:rFonts w:ascii="Times New Roman" w:hAnsi="Times New Roman" w:cs="Times New Roman"/>
                <w:lang w:val="es-ES"/>
              </w:rPr>
            </w:pPr>
          </w:p>
        </w:tc>
        <w:tc>
          <w:tcPr>
            <w:tcW w:w="5615" w:type="dxa"/>
          </w:tcPr>
          <w:p w14:paraId="6CBD3929" w14:textId="77777777" w:rsidR="008C1EAE" w:rsidRPr="008C1EAE" w:rsidRDefault="008C1EAE" w:rsidP="006A5BAB">
            <w:pPr>
              <w:jc w:val="both"/>
              <w:rPr>
                <w:rFonts w:ascii="Times New Roman" w:hAnsi="Times New Roman" w:cs="Times New Roman"/>
                <w:lang w:val="es-ES"/>
              </w:rPr>
            </w:pPr>
            <w:r w:rsidRPr="008C1EAE" w:rsidDel="006A5BAB">
              <w:rPr>
                <w:rFonts w:ascii="Times New Roman" w:hAnsi="Times New Roman" w:cs="Times New Roman"/>
                <w:lang w:val="es"/>
              </w:rPr>
              <w:t xml:space="preserve"> Las prácticas y estrategias dirigidas a mantener o aumentar la cantidad de carbono almacenado en los suelos, principalmente en forma de materia orgánica. Este proceso es fundamental para mejorar la salud del suelo, aumentar la productividad agrícola y mitigar el cambio climático mediante la captura de dióxido de carbono atmosférico (CO₂). La gestión del carbono del suelo mejora la fertilidad del suelo, la retención de agua y la biodiversidad, y contribuye a mitigar el cambio climático al capturar y almacenar el CO₂. Juega un papel fundamental en la agricultura sostenible y la resiliencia de los ecosistemas.</w:t>
            </w:r>
          </w:p>
          <w:p w14:paraId="3246C305" w14:textId="77777777" w:rsidR="008C1EAE" w:rsidRPr="008C1EAE" w:rsidRDefault="008C1EAE" w:rsidP="006A5BAB">
            <w:pPr>
              <w:jc w:val="both"/>
              <w:rPr>
                <w:rFonts w:ascii="Times New Roman" w:hAnsi="Times New Roman" w:cs="Times New Roman"/>
                <w:lang w:val="es-ES"/>
              </w:rPr>
            </w:pPr>
            <w:r w:rsidRPr="008C1EAE">
              <w:rPr>
                <w:rFonts w:ascii="Times New Roman" w:hAnsi="Times New Roman" w:cs="Times New Roman"/>
                <w:lang w:val="es"/>
              </w:rPr>
              <w:t>Entre las principales prácticas de gestión del carbono del suelo se encuentran el laboreo de conservación, la diversificación y rotación de cultivos, los cultivos de cobertura, la agroforestería y la restauración de suelos degradados.</w:t>
            </w:r>
          </w:p>
        </w:tc>
        <w:tc>
          <w:tcPr>
            <w:tcW w:w="616" w:type="dxa"/>
          </w:tcPr>
          <w:p w14:paraId="5FB46AA9"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2, 40</w:t>
            </w:r>
          </w:p>
        </w:tc>
      </w:tr>
      <w:tr w:rsidR="008C1EAE" w:rsidRPr="008C1EAE" w14:paraId="29A0F915" w14:textId="77777777" w:rsidTr="2C6C7817">
        <w:tc>
          <w:tcPr>
            <w:tcW w:w="2062" w:type="dxa"/>
          </w:tcPr>
          <w:p w14:paraId="1103F188" w14:textId="77777777" w:rsidR="008C1EAE" w:rsidRPr="008C1EAE" w:rsidRDefault="008C1EAE" w:rsidP="002A67F8">
            <w:pPr>
              <w:rPr>
                <w:rFonts w:ascii="Times New Roman" w:hAnsi="Times New Roman" w:cs="Times New Roman"/>
                <w:b/>
                <w:color w:val="D86DCB" w:themeColor="accent5" w:themeTint="99"/>
                <w:lang w:val="es-ES"/>
              </w:rPr>
            </w:pPr>
            <w:r w:rsidRPr="008C1EAE">
              <w:rPr>
                <w:rFonts w:ascii="Times New Roman" w:hAnsi="Times New Roman" w:cs="Times New Roman"/>
                <w:b/>
                <w:color w:val="3A7C22" w:themeColor="accent6" w:themeShade="BF"/>
                <w:lang w:val="es"/>
              </w:rPr>
              <w:t>Gestión funcional de la tierra</w:t>
            </w:r>
          </w:p>
        </w:tc>
        <w:tc>
          <w:tcPr>
            <w:tcW w:w="1469" w:type="dxa"/>
          </w:tcPr>
          <w:p w14:paraId="5F559EA9" w14:textId="77777777" w:rsidR="008C1EAE" w:rsidRPr="008C1EAE" w:rsidRDefault="008C1EAE" w:rsidP="00525540">
            <w:pPr>
              <w:jc w:val="both"/>
              <w:rPr>
                <w:rFonts w:ascii="Times New Roman" w:hAnsi="Times New Roman" w:cs="Times New Roman"/>
                <w:lang w:val="es-ES"/>
              </w:rPr>
            </w:pPr>
          </w:p>
        </w:tc>
        <w:tc>
          <w:tcPr>
            <w:tcW w:w="5615" w:type="dxa"/>
          </w:tcPr>
          <w:p w14:paraId="72B49255"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Un marco conceptual para optimizar el suministro de servicios de ecosistemas basado en cinco funciones principales del suelo, a diferentes escalas espaciales, para cumplir simultáneamente los objetivos de las políticas agronómicas y ambientales.</w:t>
            </w:r>
          </w:p>
          <w:p w14:paraId="145EB806"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 xml:space="preserve">Más información: Concepto de funciones del suelo </w:t>
            </w:r>
            <w:hyperlink r:id="rId16" w:history="1">
              <w:r w:rsidRPr="008C1EAE">
                <w:rPr>
                  <w:rStyle w:val="Hipervnculo"/>
                  <w:rFonts w:ascii="Times New Roman" w:hAnsi="Times New Roman" w:cs="Times New Roman"/>
                  <w:lang w:val="es"/>
                </w:rPr>
                <w:t>http://landmarkproject.eu/soil-functions-concept/</w:t>
              </w:r>
            </w:hyperlink>
            <w:r w:rsidRPr="008C1EAE">
              <w:rPr>
                <w:rFonts w:ascii="Times New Roman" w:hAnsi="Times New Roman" w:cs="Times New Roman"/>
                <w:lang w:val="es"/>
              </w:rPr>
              <w:t>.</w:t>
            </w:r>
          </w:p>
        </w:tc>
        <w:tc>
          <w:tcPr>
            <w:tcW w:w="616" w:type="dxa"/>
          </w:tcPr>
          <w:p w14:paraId="10C67C73"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3380B7E5" w14:textId="77777777" w:rsidTr="2C6C7817">
        <w:tc>
          <w:tcPr>
            <w:tcW w:w="2062" w:type="dxa"/>
          </w:tcPr>
          <w:p w14:paraId="1F80620A" w14:textId="77777777" w:rsidR="008C1EAE" w:rsidRPr="008C1EAE" w:rsidRDefault="008C1EAE" w:rsidP="00A655ED">
            <w:pPr>
              <w:rPr>
                <w:rFonts w:ascii="Times New Roman" w:hAnsi="Times New Roman" w:cs="Times New Roman"/>
                <w:b/>
                <w:color w:val="BF4E14" w:themeColor="accent2" w:themeShade="BF"/>
                <w:lang w:val="en-GB"/>
              </w:rPr>
            </w:pPr>
            <w:r w:rsidRPr="008C1EAE">
              <w:rPr>
                <w:rFonts w:ascii="Times New Roman" w:hAnsi="Times New Roman" w:cs="Times New Roman"/>
                <w:b/>
                <w:color w:val="3A7C22" w:themeColor="accent6" w:themeShade="BF"/>
                <w:lang w:val="es"/>
              </w:rPr>
              <w:t>Horizonte del suelo</w:t>
            </w:r>
          </w:p>
        </w:tc>
        <w:tc>
          <w:tcPr>
            <w:tcW w:w="1469" w:type="dxa"/>
          </w:tcPr>
          <w:p w14:paraId="1B3DD115" w14:textId="77777777" w:rsidR="008C1EAE" w:rsidRPr="008C1EAE" w:rsidRDefault="008C1EAE" w:rsidP="00A655ED">
            <w:pPr>
              <w:jc w:val="both"/>
              <w:rPr>
                <w:rFonts w:ascii="Times New Roman" w:hAnsi="Times New Roman" w:cs="Times New Roman"/>
                <w:lang w:val="en-GB"/>
              </w:rPr>
            </w:pPr>
          </w:p>
        </w:tc>
        <w:tc>
          <w:tcPr>
            <w:tcW w:w="5615" w:type="dxa"/>
          </w:tcPr>
          <w:p w14:paraId="2D8AD5FE"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 xml:space="preserve">Una de las capas que se forman en el perfil del suelo como resultado de los procesos de formación del suelo. Un horizonte puede presentarse como una capa visible marcada, </w:t>
            </w:r>
            <w:r w:rsidRPr="008C1EAE">
              <w:rPr>
                <w:rFonts w:ascii="Times New Roman" w:hAnsi="Times New Roman" w:cs="Times New Roman"/>
                <w:lang w:val="es"/>
              </w:rPr>
              <w:lastRenderedPageBreak/>
              <w:t>aunque normalmente los límites de los horizontes son más sutiles. En suelos de jardín y en aquellos en los que ha habido mucho movimiento de tierra, es posible que estas capas se hayan perdido o que sea más difícil poder observarlas.</w:t>
            </w:r>
          </w:p>
        </w:tc>
        <w:tc>
          <w:tcPr>
            <w:tcW w:w="616" w:type="dxa"/>
          </w:tcPr>
          <w:p w14:paraId="42403010"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lastRenderedPageBreak/>
              <w:t>13</w:t>
            </w:r>
          </w:p>
        </w:tc>
      </w:tr>
      <w:tr w:rsidR="008C1EAE" w:rsidRPr="008C1EAE" w14:paraId="61394014" w14:textId="77777777" w:rsidTr="2C6C7817">
        <w:tc>
          <w:tcPr>
            <w:tcW w:w="2062" w:type="dxa"/>
          </w:tcPr>
          <w:p w14:paraId="6C1B9D1D"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Humificación</w:t>
            </w:r>
          </w:p>
        </w:tc>
        <w:tc>
          <w:tcPr>
            <w:tcW w:w="1469" w:type="dxa"/>
          </w:tcPr>
          <w:p w14:paraId="7A6741F7" w14:textId="77777777" w:rsidR="008C1EAE" w:rsidRPr="008C1EAE" w:rsidRDefault="008C1EAE" w:rsidP="00525540">
            <w:pPr>
              <w:jc w:val="both"/>
              <w:rPr>
                <w:rFonts w:ascii="Times New Roman" w:hAnsi="Times New Roman" w:cs="Times New Roman"/>
                <w:lang w:val="en-GB"/>
              </w:rPr>
            </w:pPr>
          </w:p>
        </w:tc>
        <w:tc>
          <w:tcPr>
            <w:tcW w:w="5615" w:type="dxa"/>
          </w:tcPr>
          <w:p w14:paraId="665A983D"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El proceso mediante el cual el carbono de los residuos orgánicos se transforma y se convierte en sustancias húmicas a través de procesos bioquímicos y abióticos.</w:t>
            </w:r>
          </w:p>
        </w:tc>
        <w:tc>
          <w:tcPr>
            <w:tcW w:w="616" w:type="dxa"/>
          </w:tcPr>
          <w:p w14:paraId="3C8F5193"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w:t>
            </w:r>
          </w:p>
        </w:tc>
      </w:tr>
      <w:tr w:rsidR="008C1EAE" w:rsidRPr="008C1EAE" w14:paraId="6D83873C" w14:textId="77777777" w:rsidTr="2C6C7817">
        <w:tc>
          <w:tcPr>
            <w:tcW w:w="2062" w:type="dxa"/>
          </w:tcPr>
          <w:p w14:paraId="6C5C2AA3"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Humus</w:t>
            </w:r>
          </w:p>
        </w:tc>
        <w:tc>
          <w:tcPr>
            <w:tcW w:w="1469" w:type="dxa"/>
          </w:tcPr>
          <w:p w14:paraId="26DC9438" w14:textId="77777777" w:rsidR="008C1EAE" w:rsidRPr="008C1EAE" w:rsidRDefault="008C1EAE" w:rsidP="00525540">
            <w:pPr>
              <w:jc w:val="both"/>
              <w:rPr>
                <w:rFonts w:ascii="Times New Roman" w:hAnsi="Times New Roman" w:cs="Times New Roman"/>
                <w:lang w:val="en-GB"/>
              </w:rPr>
            </w:pPr>
          </w:p>
        </w:tc>
        <w:tc>
          <w:tcPr>
            <w:tcW w:w="5615" w:type="dxa"/>
          </w:tcPr>
          <w:p w14:paraId="772EFC7C"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El componente orgánico oscuro</w:t>
            </w:r>
            <w:r w:rsidRPr="008C1EAE">
              <w:rPr>
                <w:lang w:val="es"/>
              </w:rPr>
              <w:t xml:space="preserve"> </w:t>
            </w:r>
            <w:r w:rsidRPr="008C1EAE">
              <w:rPr>
                <w:rFonts w:ascii="Times New Roman" w:hAnsi="Times New Roman" w:cs="Times New Roman"/>
                <w:lang w:val="es"/>
              </w:rPr>
              <w:t>y amorfo que se forma mediante la descomposición de residuos vegetales y animales por los microorganismos del suelo en suelos minerales, y que tiene un peso específico bajo y una superficie elevada. Normalmente está formado por muchos compuestos orgánicos de alto peso molecular. Es un término que muchas veces se utiliza como sinónimo de materia orgánica del suelo. El humus es un componente esencial de los suelos sanos, importante para la fertilidad del suelo y que ayuda a unir las partículas y los agregados del suelo.</w:t>
            </w:r>
          </w:p>
        </w:tc>
        <w:tc>
          <w:tcPr>
            <w:tcW w:w="616" w:type="dxa"/>
          </w:tcPr>
          <w:p w14:paraId="60992093"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w:t>
            </w:r>
          </w:p>
        </w:tc>
      </w:tr>
      <w:tr w:rsidR="008C1EAE" w:rsidRPr="008C1EAE" w14:paraId="0FB5C355" w14:textId="77777777" w:rsidTr="2C6C7817">
        <w:tc>
          <w:tcPr>
            <w:tcW w:w="2062" w:type="dxa"/>
          </w:tcPr>
          <w:p w14:paraId="69E7EED9"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Infiltración</w:t>
            </w:r>
          </w:p>
        </w:tc>
        <w:tc>
          <w:tcPr>
            <w:tcW w:w="1469" w:type="dxa"/>
          </w:tcPr>
          <w:p w14:paraId="01C2E3F6" w14:textId="77777777" w:rsidR="008C1EAE" w:rsidRPr="008C1EAE" w:rsidRDefault="008C1EAE" w:rsidP="00525540">
            <w:pPr>
              <w:jc w:val="both"/>
              <w:rPr>
                <w:rFonts w:ascii="Times New Roman" w:hAnsi="Times New Roman" w:cs="Times New Roman"/>
                <w:lang w:val="en-GB"/>
              </w:rPr>
            </w:pPr>
          </w:p>
        </w:tc>
        <w:tc>
          <w:tcPr>
            <w:tcW w:w="5615" w:type="dxa"/>
          </w:tcPr>
          <w:p w14:paraId="2CB001C6"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El movimiento del agua que pasa de la superficie del suelo al interior del mismo (en contraposición a la percolación, que es el movimiento del agua a través del perfil del suelo (horizontes) hasta llegar a los acuíferos.</w:t>
            </w:r>
          </w:p>
        </w:tc>
        <w:tc>
          <w:tcPr>
            <w:tcW w:w="616" w:type="dxa"/>
          </w:tcPr>
          <w:p w14:paraId="7740E59E"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7B57D654" w14:textId="77777777" w:rsidTr="2C6C7817">
        <w:tc>
          <w:tcPr>
            <w:tcW w:w="2062" w:type="dxa"/>
          </w:tcPr>
          <w:p w14:paraId="4B133AC4"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Inmovilización</w:t>
            </w:r>
          </w:p>
        </w:tc>
        <w:tc>
          <w:tcPr>
            <w:tcW w:w="1469" w:type="dxa"/>
          </w:tcPr>
          <w:p w14:paraId="3BC25575" w14:textId="77777777" w:rsidR="008C1EAE" w:rsidRPr="008C1EAE" w:rsidRDefault="008C1EAE" w:rsidP="00525540">
            <w:pPr>
              <w:jc w:val="both"/>
              <w:rPr>
                <w:rFonts w:ascii="Times New Roman" w:hAnsi="Times New Roman" w:cs="Times New Roman"/>
                <w:lang w:val="en-GB"/>
              </w:rPr>
            </w:pPr>
          </w:p>
        </w:tc>
        <w:tc>
          <w:tcPr>
            <w:tcW w:w="5615" w:type="dxa"/>
          </w:tcPr>
          <w:p w14:paraId="295544B1"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La conversión de elementos hidrosolubles en compuestos orgánicos por la biota del suelo.</w:t>
            </w:r>
          </w:p>
          <w:p w14:paraId="47391650"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El proceso por el cual los microorganismos del suelo convierten temporalmente los nutrientes (como el nitrógeno, el fósforo y otros elementos esenciales) de una forma inorgánica disponible e hidrosoluble en una forma orgánica no disponible. Esto ocurre cuando los microorganismos incorporan estos nutrientes a sus células y tejidos durante la descomposición de la materia orgánica, convirtiéndolos temporalmente en inaccesibles para las plantas.</w:t>
            </w:r>
          </w:p>
          <w:p w14:paraId="7419D6FF"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En los suelos contaminados, la inmovilización también puede suponer que algunos elementos potencialmente tóxicos se vuelvan insolubles. Este fenómeno es positivo porque reduce el riesgo de propagación de los contaminantes en el medioambiente y su posible absorción por las plantas.</w:t>
            </w:r>
          </w:p>
        </w:tc>
        <w:tc>
          <w:tcPr>
            <w:tcW w:w="616" w:type="dxa"/>
          </w:tcPr>
          <w:p w14:paraId="1E59EFF9"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 45</w:t>
            </w:r>
          </w:p>
        </w:tc>
      </w:tr>
      <w:tr w:rsidR="008C1EAE" w:rsidRPr="008C1EAE" w14:paraId="06A46751" w14:textId="77777777" w:rsidTr="2C6C7817">
        <w:tc>
          <w:tcPr>
            <w:tcW w:w="2062" w:type="dxa"/>
          </w:tcPr>
          <w:p w14:paraId="73C66187"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Intensificación</w:t>
            </w:r>
          </w:p>
        </w:tc>
        <w:tc>
          <w:tcPr>
            <w:tcW w:w="1469" w:type="dxa"/>
          </w:tcPr>
          <w:p w14:paraId="1C98728E" w14:textId="77777777" w:rsidR="008C1EAE" w:rsidRPr="008C1EAE" w:rsidRDefault="008C1EAE" w:rsidP="00525540">
            <w:pPr>
              <w:jc w:val="both"/>
              <w:rPr>
                <w:rFonts w:ascii="Times New Roman" w:hAnsi="Times New Roman" w:cs="Times New Roman"/>
                <w:lang w:val="en-GB"/>
              </w:rPr>
            </w:pPr>
          </w:p>
        </w:tc>
        <w:tc>
          <w:tcPr>
            <w:tcW w:w="5615" w:type="dxa"/>
          </w:tcPr>
          <w:p w14:paraId="1F6F6477"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El proceso por el que se aumenta el uso de insumos (como la mano de obra, fertilizantes, los pesticidas y la maquinaria) con respecto a la superficie de tierra, para aumentar la producción agrícola por unidad de área. La intensificación puede aumentar la presión sobre el medioambiente si se basa en un aumento indiscriminado del uso de insumos sin un aumento asociado de los insumos de gestión. Un mayor uso de fertilizantes y pesticidas, por ejemplo, puede aumentar el riesgo de escorrentía de nutrientes y pesticidas hacia las aguas superficiales y freáticas («pérdida por unidad de área»). Sin embargo, el efecto real del uso de insumos sobre el medioambiente no solo depende de la cantidad de insumos utilizados, sino también de la forma en la que se aplican y la medida en la que conducen a un aumento en la producción («pérdida por unidad producida»). Por lo tanto, la intensificación no tiene por qué conducir necesariamente a la degradación del medioambiente.</w:t>
            </w:r>
          </w:p>
        </w:tc>
        <w:tc>
          <w:tcPr>
            <w:tcW w:w="616" w:type="dxa"/>
          </w:tcPr>
          <w:p w14:paraId="0F6DE986"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7C0C6A39" w14:textId="77777777" w:rsidTr="2C6C7817">
        <w:tc>
          <w:tcPr>
            <w:tcW w:w="2062" w:type="dxa"/>
          </w:tcPr>
          <w:p w14:paraId="6C1C334A" w14:textId="77777777" w:rsidR="008C1EAE" w:rsidRPr="008C1EAE" w:rsidRDefault="008C1EAE" w:rsidP="00A655ED">
            <w:pPr>
              <w:rPr>
                <w:rFonts w:ascii="Times New Roman" w:hAnsi="Times New Roman" w:cs="Times New Roman"/>
                <w:b/>
                <w:color w:val="D86DCB" w:themeColor="accent5" w:themeTint="99"/>
                <w:lang w:val="es-ES"/>
              </w:rPr>
            </w:pPr>
            <w:r w:rsidRPr="008C1EAE">
              <w:rPr>
                <w:rFonts w:ascii="Times New Roman" w:hAnsi="Times New Roman" w:cs="Times New Roman"/>
                <w:b/>
                <w:color w:val="3A7C22" w:themeColor="accent6" w:themeShade="BF"/>
                <w:lang w:val="es"/>
              </w:rPr>
              <w:lastRenderedPageBreak/>
              <w:t>Metodologías que favorecen la participación</w:t>
            </w:r>
          </w:p>
        </w:tc>
        <w:tc>
          <w:tcPr>
            <w:tcW w:w="1469" w:type="dxa"/>
          </w:tcPr>
          <w:p w14:paraId="10E885D0" w14:textId="77777777" w:rsidR="008C1EAE" w:rsidRPr="008C1EAE" w:rsidRDefault="008C1EAE" w:rsidP="00A655ED">
            <w:pPr>
              <w:jc w:val="both"/>
              <w:rPr>
                <w:rFonts w:ascii="Times New Roman" w:hAnsi="Times New Roman" w:cs="Times New Roman"/>
                <w:lang w:val="es-ES"/>
              </w:rPr>
            </w:pPr>
          </w:p>
        </w:tc>
        <w:tc>
          <w:tcPr>
            <w:tcW w:w="5615" w:type="dxa"/>
          </w:tcPr>
          <w:p w14:paraId="43622DA4"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Enfoques innovadores que implican de forma activa a los participantes en el proceso de aprendizaje o en los esfuerzos de comunicación. Estas metodologías están diseñadas para fomentar la interacción, la colaboración y el pensamiento crítico, mejorando así la eficacia de las iniciativas educativas y comunicativas. Se caracterizan por la interactividad, la relevancia, el mecanismo de retroalimentación y el uso de la tecnología.</w:t>
            </w:r>
          </w:p>
        </w:tc>
        <w:tc>
          <w:tcPr>
            <w:tcW w:w="616" w:type="dxa"/>
          </w:tcPr>
          <w:p w14:paraId="287DC572"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27</w:t>
            </w:r>
          </w:p>
        </w:tc>
      </w:tr>
      <w:tr w:rsidR="008C1EAE" w:rsidRPr="008C1EAE" w14:paraId="6E4E0EFB" w14:textId="77777777" w:rsidTr="2C6C7817">
        <w:tc>
          <w:tcPr>
            <w:tcW w:w="2062" w:type="dxa"/>
          </w:tcPr>
          <w:p w14:paraId="0353F550"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Micorriza</w:t>
            </w:r>
          </w:p>
        </w:tc>
        <w:tc>
          <w:tcPr>
            <w:tcW w:w="1469" w:type="dxa"/>
          </w:tcPr>
          <w:p w14:paraId="46F6A10E" w14:textId="77777777" w:rsidR="008C1EAE" w:rsidRPr="008C1EAE" w:rsidRDefault="008C1EAE" w:rsidP="00525540">
            <w:pPr>
              <w:jc w:val="both"/>
              <w:rPr>
                <w:rFonts w:ascii="Times New Roman" w:hAnsi="Times New Roman" w:cs="Times New Roman"/>
                <w:lang w:val="en-GB"/>
              </w:rPr>
            </w:pPr>
          </w:p>
        </w:tc>
        <w:tc>
          <w:tcPr>
            <w:tcW w:w="5615" w:type="dxa"/>
          </w:tcPr>
          <w:p w14:paraId="7E8D6941"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 xml:space="preserve">Literalmente significa «raíz de hongo» y es una relación simbiótica (mutuamente beneficiosa) entre los hongos y las raíces de las plantas. El hongo ofrece agua y nutrientes a las raíces de la planta, mientras que la planta le aporta hidratos de carbono. Normalmente, las raíces de las plantas no pueden explorar más del 1 % del volumen del suelo, pero con la asociación de hongos </w:t>
            </w:r>
            <w:proofErr w:type="spellStart"/>
            <w:r w:rsidRPr="008C1EAE">
              <w:rPr>
                <w:rFonts w:ascii="Times New Roman" w:hAnsi="Times New Roman" w:cs="Times New Roman"/>
                <w:lang w:val="es"/>
              </w:rPr>
              <w:t>micorrizados</w:t>
            </w:r>
            <w:proofErr w:type="spellEnd"/>
            <w:r w:rsidRPr="008C1EAE">
              <w:rPr>
                <w:rFonts w:ascii="Times New Roman" w:hAnsi="Times New Roman" w:cs="Times New Roman"/>
                <w:lang w:val="es"/>
              </w:rPr>
              <w:t xml:space="preserve"> (que se adhieren a las paredes celulares de las raíces de las plantas), pueden llegar a explorar aproximadamente el 20 % del volumen del suelo. Más del 80 % de las plantas tienen una asociación </w:t>
            </w:r>
            <w:proofErr w:type="spellStart"/>
            <w:r w:rsidRPr="008C1EAE">
              <w:rPr>
                <w:rFonts w:ascii="Times New Roman" w:hAnsi="Times New Roman" w:cs="Times New Roman"/>
                <w:lang w:val="es"/>
              </w:rPr>
              <w:t>micorrizada</w:t>
            </w:r>
            <w:proofErr w:type="spellEnd"/>
            <w:r w:rsidRPr="008C1EAE">
              <w:rPr>
                <w:rFonts w:ascii="Times New Roman" w:hAnsi="Times New Roman" w:cs="Times New Roman"/>
                <w:lang w:val="es"/>
              </w:rPr>
              <w:t>, pero estas poblaciones de hongos se ven reducidas a causa del laboreo convencional y las elevadas aplicaciones de fertilizantes de nitrógeno y fósforo.</w:t>
            </w:r>
          </w:p>
        </w:tc>
        <w:tc>
          <w:tcPr>
            <w:tcW w:w="616" w:type="dxa"/>
          </w:tcPr>
          <w:p w14:paraId="120BEB49"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7</w:t>
            </w:r>
          </w:p>
        </w:tc>
      </w:tr>
      <w:tr w:rsidR="008C1EAE" w:rsidRPr="008C1EAE" w14:paraId="549C7097" w14:textId="77777777" w:rsidTr="2C6C7817">
        <w:tc>
          <w:tcPr>
            <w:tcW w:w="2062" w:type="dxa"/>
          </w:tcPr>
          <w:p w14:paraId="43A1AD9E"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Mineralización</w:t>
            </w:r>
          </w:p>
        </w:tc>
        <w:tc>
          <w:tcPr>
            <w:tcW w:w="1469" w:type="dxa"/>
          </w:tcPr>
          <w:p w14:paraId="2C8E58BF" w14:textId="77777777" w:rsidR="008C1EAE" w:rsidRPr="008C1EAE" w:rsidRDefault="008C1EAE" w:rsidP="00525540">
            <w:pPr>
              <w:jc w:val="both"/>
              <w:rPr>
                <w:rFonts w:ascii="Times New Roman" w:hAnsi="Times New Roman" w:cs="Times New Roman"/>
                <w:lang w:val="en-GB"/>
              </w:rPr>
            </w:pPr>
          </w:p>
        </w:tc>
        <w:tc>
          <w:tcPr>
            <w:tcW w:w="5615" w:type="dxa"/>
          </w:tcPr>
          <w:p w14:paraId="6BEF62C3"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La degradación de elementos ligados orgánicamente (N, P, S) por la biota del suelo en formas (inorgánicas) disponibles para las plantas.</w:t>
            </w:r>
          </w:p>
        </w:tc>
        <w:tc>
          <w:tcPr>
            <w:tcW w:w="616" w:type="dxa"/>
          </w:tcPr>
          <w:p w14:paraId="59ACC8B3"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311A41EA" w14:textId="77777777" w:rsidTr="2C6C7817">
        <w:tc>
          <w:tcPr>
            <w:tcW w:w="2062" w:type="dxa"/>
          </w:tcPr>
          <w:p w14:paraId="10982A79" w14:textId="77777777" w:rsidR="008C1EAE" w:rsidRPr="008A5BFA" w:rsidRDefault="008C1EAE" w:rsidP="002A67F8">
            <w:pPr>
              <w:rPr>
                <w:rFonts w:ascii="Times New Roman" w:hAnsi="Times New Roman" w:cs="Times New Roman"/>
                <w:b/>
                <w:i/>
                <w:iCs/>
                <w:color w:val="3A7C22" w:themeColor="accent6" w:themeShade="BF"/>
                <w:lang w:val="en-GB"/>
              </w:rPr>
            </w:pPr>
            <w:proofErr w:type="spellStart"/>
            <w:r w:rsidRPr="008A5BFA">
              <w:rPr>
                <w:rFonts w:ascii="Times New Roman" w:hAnsi="Times New Roman" w:cs="Times New Roman"/>
                <w:b/>
                <w:i/>
                <w:iCs/>
                <w:color w:val="3A7C22" w:themeColor="accent6" w:themeShade="BF"/>
                <w:lang w:val="es"/>
              </w:rPr>
              <w:t>Mulching</w:t>
            </w:r>
            <w:proofErr w:type="spellEnd"/>
          </w:p>
        </w:tc>
        <w:tc>
          <w:tcPr>
            <w:tcW w:w="1469" w:type="dxa"/>
          </w:tcPr>
          <w:p w14:paraId="38A220BA" w14:textId="77777777" w:rsidR="008C1EAE" w:rsidRPr="008C1EAE" w:rsidRDefault="008C1EAE" w:rsidP="00525540">
            <w:pPr>
              <w:jc w:val="both"/>
              <w:rPr>
                <w:rFonts w:ascii="Times New Roman" w:hAnsi="Times New Roman" w:cs="Times New Roman"/>
                <w:lang w:val="en-GB"/>
              </w:rPr>
            </w:pPr>
          </w:p>
        </w:tc>
        <w:tc>
          <w:tcPr>
            <w:tcW w:w="5615" w:type="dxa"/>
          </w:tcPr>
          <w:p w14:paraId="3ECE3EF6"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La práctica agrícola que consiste en cubrir la superficie del suelo, normalmente con materiales orgánicos o láminas de plástico, para favorecer la conservación del suelo y el agua, controlar las malas hierbas, evitar las plagas y mantener unas condiciones favorables y estables para que crezcan las plantas.</w:t>
            </w:r>
          </w:p>
        </w:tc>
        <w:tc>
          <w:tcPr>
            <w:tcW w:w="616" w:type="dxa"/>
          </w:tcPr>
          <w:p w14:paraId="09523079"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w:t>
            </w:r>
          </w:p>
        </w:tc>
      </w:tr>
      <w:tr w:rsidR="008C1EAE" w:rsidRPr="008C1EAE" w14:paraId="411C3120" w14:textId="77777777" w:rsidTr="2C6C7817">
        <w:tc>
          <w:tcPr>
            <w:tcW w:w="2062" w:type="dxa"/>
          </w:tcPr>
          <w:p w14:paraId="575F6B13" w14:textId="77777777" w:rsidR="008C1EAE" w:rsidRPr="008C1EAE" w:rsidRDefault="008C1EAE" w:rsidP="00A655ED">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Nuevos métodos de comunicación</w:t>
            </w:r>
          </w:p>
          <w:p w14:paraId="029B932B" w14:textId="77777777" w:rsidR="008C1EAE" w:rsidRPr="008C1EAE" w:rsidRDefault="008C1EAE" w:rsidP="00A655ED">
            <w:pPr>
              <w:rPr>
                <w:rFonts w:ascii="Times New Roman" w:hAnsi="Times New Roman" w:cs="Times New Roman"/>
                <w:b/>
                <w:color w:val="D86DCB" w:themeColor="accent5" w:themeTint="99"/>
                <w:lang w:val="en-GB"/>
              </w:rPr>
            </w:pPr>
          </w:p>
        </w:tc>
        <w:tc>
          <w:tcPr>
            <w:tcW w:w="1469" w:type="dxa"/>
          </w:tcPr>
          <w:p w14:paraId="2569953D" w14:textId="77777777" w:rsidR="008C1EAE" w:rsidRPr="008C1EAE" w:rsidRDefault="008C1EAE" w:rsidP="00A655ED">
            <w:pPr>
              <w:jc w:val="both"/>
              <w:rPr>
                <w:rFonts w:ascii="Times New Roman" w:hAnsi="Times New Roman" w:cs="Times New Roman"/>
                <w:lang w:val="en-GB"/>
              </w:rPr>
            </w:pPr>
          </w:p>
        </w:tc>
        <w:tc>
          <w:tcPr>
            <w:tcW w:w="5615" w:type="dxa"/>
          </w:tcPr>
          <w:p w14:paraId="5E8F1CFA"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Estrategias y tecnologías innovadoras que facilitan el intercambio de información entre personas, organizaciones y el público. Estos métodos comprenden una serie de herramientas y plataformas digitales que mejoran la interacción, la participación y la accesibilidad en diferentes contextos, sobre todo en los ámbitos de la educación y la comunicación pública.</w:t>
            </w:r>
          </w:p>
        </w:tc>
        <w:tc>
          <w:tcPr>
            <w:tcW w:w="616" w:type="dxa"/>
          </w:tcPr>
          <w:p w14:paraId="33578F2B"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24,25, 26, 27</w:t>
            </w:r>
          </w:p>
        </w:tc>
      </w:tr>
      <w:tr w:rsidR="008C1EAE" w:rsidRPr="008C1EAE" w14:paraId="63C054CA" w14:textId="77777777" w:rsidTr="2C6C7817">
        <w:tc>
          <w:tcPr>
            <w:tcW w:w="2062" w:type="dxa"/>
          </w:tcPr>
          <w:p w14:paraId="71955D8E" w14:textId="77777777" w:rsidR="008C1EAE" w:rsidRPr="008C1EAE" w:rsidRDefault="008C1EAE" w:rsidP="00A655ED">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Oligoelementos</w:t>
            </w:r>
          </w:p>
        </w:tc>
        <w:tc>
          <w:tcPr>
            <w:tcW w:w="1469" w:type="dxa"/>
          </w:tcPr>
          <w:p w14:paraId="0A3314FD" w14:textId="77777777" w:rsidR="008C1EAE" w:rsidRPr="008C1EAE" w:rsidRDefault="008C1EAE" w:rsidP="00A655ED">
            <w:pPr>
              <w:jc w:val="both"/>
              <w:rPr>
                <w:rFonts w:ascii="Times New Roman" w:hAnsi="Times New Roman" w:cs="Times New Roman"/>
                <w:lang w:val="en-GB"/>
              </w:rPr>
            </w:pPr>
          </w:p>
        </w:tc>
        <w:tc>
          <w:tcPr>
            <w:tcW w:w="5615" w:type="dxa"/>
          </w:tcPr>
          <w:p w14:paraId="64B8DFE3"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Se conciben como indicadores o vestigios que proporcionan evidencia de eventos o condiciones previas. Aquí se incluyen las marcas físicas dejadas en el medioambiente, como las muestras de suelo que indican el uso de la tierra en el pasado, o los rastros químicos que revelan información sobre los niveles de contaminación o los cambios ecológicos. Son elementos presentes en cantidades muy pequeñas en un entorno concreto, generalmente menos de 100 partes por millón (ppm) o 100 mg/kg. Pueden ser esenciales o tóxicos para los organismos, dependiendo de su concentración. Elementos como el arsénico (As), el cadmio (Cd) y el plomo (Pb) se analizan a menudo como oligoelementos debido a sus posibles efectos sobre el medioambiente y la salud.</w:t>
            </w:r>
          </w:p>
        </w:tc>
        <w:tc>
          <w:tcPr>
            <w:tcW w:w="616" w:type="dxa"/>
          </w:tcPr>
          <w:p w14:paraId="2371E73A"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34</w:t>
            </w:r>
          </w:p>
        </w:tc>
      </w:tr>
      <w:tr w:rsidR="008C1EAE" w:rsidRPr="008C1EAE" w14:paraId="59EEB510" w14:textId="77777777" w:rsidTr="2C6C7817">
        <w:tc>
          <w:tcPr>
            <w:tcW w:w="2062" w:type="dxa"/>
          </w:tcPr>
          <w:p w14:paraId="6481B67A"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Oxidación</w:t>
            </w:r>
          </w:p>
        </w:tc>
        <w:tc>
          <w:tcPr>
            <w:tcW w:w="1469" w:type="dxa"/>
          </w:tcPr>
          <w:p w14:paraId="5F425224" w14:textId="77777777" w:rsidR="008C1EAE" w:rsidRPr="008C1EAE" w:rsidRDefault="008C1EAE" w:rsidP="00525540">
            <w:pPr>
              <w:jc w:val="both"/>
              <w:rPr>
                <w:rFonts w:ascii="Times New Roman" w:hAnsi="Times New Roman" w:cs="Times New Roman"/>
                <w:lang w:val="en-GB"/>
              </w:rPr>
            </w:pPr>
          </w:p>
        </w:tc>
        <w:tc>
          <w:tcPr>
            <w:tcW w:w="5615" w:type="dxa"/>
          </w:tcPr>
          <w:p w14:paraId="0E561788"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La adición de oxígeno, la eliminación de hidrógeno o la eliminación de electrones de un elemento o compuesto. En el medioambiente, la materia orgánica se oxida y se transforma en sustancias más estables. La oxidación es lo contrario de la «reducción». La oxidación de la materia orgánica se denomina «combustión», y la del hierro, «corrosión».</w:t>
            </w:r>
          </w:p>
        </w:tc>
        <w:tc>
          <w:tcPr>
            <w:tcW w:w="616" w:type="dxa"/>
          </w:tcPr>
          <w:p w14:paraId="17D177D4"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593025B0" w14:textId="77777777" w:rsidTr="2C6C7817">
        <w:tc>
          <w:tcPr>
            <w:tcW w:w="2062" w:type="dxa"/>
          </w:tcPr>
          <w:p w14:paraId="35A517BB" w14:textId="77777777" w:rsidR="008C1EAE" w:rsidRPr="008C1EAE" w:rsidRDefault="008C1EAE" w:rsidP="00A655ED">
            <w:pPr>
              <w:rPr>
                <w:rFonts w:ascii="Times New Roman" w:hAnsi="Times New Roman" w:cs="Times New Roman"/>
                <w:b/>
                <w:color w:val="BF4E14" w:themeColor="accent2" w:themeShade="BF"/>
                <w:lang w:val="en-GB"/>
              </w:rPr>
            </w:pPr>
            <w:r w:rsidRPr="008C1EAE">
              <w:rPr>
                <w:rFonts w:ascii="Times New Roman" w:hAnsi="Times New Roman" w:cs="Times New Roman"/>
                <w:b/>
                <w:color w:val="3A7C22" w:themeColor="accent6" w:themeShade="BF"/>
                <w:lang w:val="es"/>
              </w:rPr>
              <w:lastRenderedPageBreak/>
              <w:t>Permacultura</w:t>
            </w:r>
          </w:p>
        </w:tc>
        <w:tc>
          <w:tcPr>
            <w:tcW w:w="1469" w:type="dxa"/>
          </w:tcPr>
          <w:p w14:paraId="198C3083" w14:textId="77777777" w:rsidR="008C1EAE" w:rsidRPr="008C1EAE" w:rsidRDefault="008C1EAE" w:rsidP="00A655ED">
            <w:pPr>
              <w:jc w:val="both"/>
              <w:rPr>
                <w:rFonts w:ascii="Times New Roman" w:hAnsi="Times New Roman" w:cs="Times New Roman"/>
                <w:lang w:val="en-GB"/>
              </w:rPr>
            </w:pPr>
          </w:p>
        </w:tc>
        <w:tc>
          <w:tcPr>
            <w:tcW w:w="5615" w:type="dxa"/>
          </w:tcPr>
          <w:p w14:paraId="322DC152"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 xml:space="preserve">La permacultura crea ecosistemas productivos desde el punto de vista agrícola que imitan la diversidad, estabilidad y resiliencia de los ecosistemas naturales. El objetivo de la permacultura es desarrollar un paisaje que sea autosuficiente y productivo durante generaciones. Se trata de un sistema agrícola regenerativo que comprende una serie de prácticas agrícolas, un sistema de diseño para seleccionar, combinar y ordenar esas prácticas, y también el sistema agrícola agroecológico resultante. Puede utilizarse desde en cultivos de balcón hasta en cultivos de varias hectáreas. </w:t>
            </w:r>
          </w:p>
        </w:tc>
        <w:tc>
          <w:tcPr>
            <w:tcW w:w="616" w:type="dxa"/>
          </w:tcPr>
          <w:p w14:paraId="205E3551"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14</w:t>
            </w:r>
          </w:p>
        </w:tc>
      </w:tr>
      <w:tr w:rsidR="008C1EAE" w:rsidRPr="008C1EAE" w14:paraId="2FF1D0A6" w14:textId="77777777" w:rsidTr="2C6C7817">
        <w:tc>
          <w:tcPr>
            <w:tcW w:w="2062" w:type="dxa"/>
          </w:tcPr>
          <w:p w14:paraId="2722B2CC" w14:textId="77777777" w:rsidR="008C1EAE" w:rsidRPr="008C1EAE" w:rsidRDefault="008C1EAE" w:rsidP="00A655ED">
            <w:pPr>
              <w:rPr>
                <w:rFonts w:ascii="Times New Roman" w:hAnsi="Times New Roman" w:cs="Times New Roman"/>
                <w:b/>
                <w:color w:val="D86DCB" w:themeColor="accent5" w:themeTint="99"/>
                <w:lang w:val="es-ES"/>
              </w:rPr>
            </w:pPr>
            <w:r w:rsidRPr="008C1EAE">
              <w:rPr>
                <w:rFonts w:ascii="Times New Roman" w:hAnsi="Times New Roman" w:cs="Times New Roman"/>
                <w:b/>
                <w:color w:val="3A7C22" w:themeColor="accent6" w:themeShade="BF"/>
                <w:lang w:val="es"/>
              </w:rPr>
              <w:t>Plantas que enriquecen el suelo</w:t>
            </w:r>
          </w:p>
        </w:tc>
        <w:tc>
          <w:tcPr>
            <w:tcW w:w="1469" w:type="dxa"/>
          </w:tcPr>
          <w:p w14:paraId="7931F820" w14:textId="77777777" w:rsidR="008C1EAE" w:rsidRPr="008C1EAE" w:rsidRDefault="008C1EAE" w:rsidP="00A655ED">
            <w:pPr>
              <w:jc w:val="both"/>
              <w:rPr>
                <w:rFonts w:ascii="Times New Roman" w:hAnsi="Times New Roman" w:cs="Times New Roman"/>
                <w:lang w:val="es-ES"/>
              </w:rPr>
            </w:pPr>
          </w:p>
        </w:tc>
        <w:tc>
          <w:tcPr>
            <w:tcW w:w="5615" w:type="dxa"/>
          </w:tcPr>
          <w:p w14:paraId="0D08D06D"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 xml:space="preserve">Las plantas que mejoran la salud y fertilidad del suelo mediante distintos mecanismos, como la fijación del nitrógeno o la adición de materia orgánica. Un ejemplo son las leguminosas, conocidas por su capacidad para enriquecer la calidad del suelo mediante la fijación de nitrógeno. Este proceso aumenta de forma significativa la fertilidad del suelo y favorece el crecimiento de los siguientes cultivos. Por ello, las leguminosas son fundamentales en los sistemas agrícolas sostenibles. Además, el centeno, la avena, el trigo sarraceno y el </w:t>
            </w:r>
            <w:r w:rsidRPr="008A5BFA">
              <w:rPr>
                <w:rFonts w:ascii="Times New Roman" w:hAnsi="Times New Roman" w:cs="Times New Roman"/>
                <w:i/>
                <w:iCs/>
                <w:lang w:val="es"/>
              </w:rPr>
              <w:t>sorgo-sudangrass</w:t>
            </w:r>
            <w:r w:rsidRPr="008C1EAE">
              <w:rPr>
                <w:rFonts w:ascii="Times New Roman" w:hAnsi="Times New Roman" w:cs="Times New Roman"/>
                <w:lang w:val="es"/>
              </w:rPr>
              <w:t xml:space="preserve"> también son plantas que enriquecen el suelo.</w:t>
            </w:r>
          </w:p>
        </w:tc>
        <w:tc>
          <w:tcPr>
            <w:tcW w:w="616" w:type="dxa"/>
          </w:tcPr>
          <w:p w14:paraId="26308F2F"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17, 18</w:t>
            </w:r>
          </w:p>
        </w:tc>
      </w:tr>
      <w:tr w:rsidR="008C1EAE" w:rsidRPr="008C1EAE" w14:paraId="171D56B7" w14:textId="77777777" w:rsidTr="2C6C7817">
        <w:tc>
          <w:tcPr>
            <w:tcW w:w="2062" w:type="dxa"/>
          </w:tcPr>
          <w:p w14:paraId="6ADE2A39"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 xml:space="preserve">Protección del suelo </w:t>
            </w:r>
          </w:p>
        </w:tc>
        <w:tc>
          <w:tcPr>
            <w:tcW w:w="1469" w:type="dxa"/>
          </w:tcPr>
          <w:p w14:paraId="6806B634" w14:textId="77777777" w:rsidR="008C1EAE" w:rsidRPr="008C1EAE" w:rsidRDefault="008C1EAE" w:rsidP="00525540">
            <w:pPr>
              <w:jc w:val="both"/>
              <w:rPr>
                <w:rFonts w:ascii="Times New Roman" w:hAnsi="Times New Roman" w:cs="Times New Roman"/>
                <w:lang w:val="en-GB"/>
              </w:rPr>
            </w:pPr>
          </w:p>
        </w:tc>
        <w:tc>
          <w:tcPr>
            <w:tcW w:w="5615" w:type="dxa"/>
          </w:tcPr>
          <w:p w14:paraId="6488DF80"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Un proceso consciente necesario para preservar el suelo y sus propiedades, que se lleva a cabo a diferentes niveles (personal, local, nacional o continental) y que utiliza la información obtenida de la investigación del suelo para llevar a cabo una gestión sostenible de los suelos.</w:t>
            </w:r>
          </w:p>
        </w:tc>
        <w:tc>
          <w:tcPr>
            <w:tcW w:w="616" w:type="dxa"/>
          </w:tcPr>
          <w:p w14:paraId="71F31FF1"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w:t>
            </w:r>
          </w:p>
        </w:tc>
      </w:tr>
      <w:tr w:rsidR="008C1EAE" w:rsidRPr="008C1EAE" w14:paraId="3BE41596" w14:textId="77777777" w:rsidTr="2C6C7817">
        <w:tc>
          <w:tcPr>
            <w:tcW w:w="2062" w:type="dxa"/>
          </w:tcPr>
          <w:p w14:paraId="5B946F30"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Purín</w:t>
            </w:r>
          </w:p>
        </w:tc>
        <w:tc>
          <w:tcPr>
            <w:tcW w:w="1469" w:type="dxa"/>
          </w:tcPr>
          <w:p w14:paraId="687A73EE" w14:textId="77777777" w:rsidR="008C1EAE" w:rsidRPr="008C1EAE" w:rsidRDefault="008C1EAE" w:rsidP="00525540">
            <w:pPr>
              <w:jc w:val="both"/>
              <w:rPr>
                <w:rFonts w:ascii="Times New Roman" w:hAnsi="Times New Roman" w:cs="Times New Roman"/>
                <w:lang w:val="en-GB"/>
              </w:rPr>
            </w:pPr>
          </w:p>
        </w:tc>
        <w:tc>
          <w:tcPr>
            <w:tcW w:w="5615" w:type="dxa"/>
          </w:tcPr>
          <w:p w14:paraId="3CBE5617"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Una combinación de estiércol animal y agua, a la que a menudo se le añade materia orgánica, que tiene una consistencia semilíquida. Generalmente se produce en sistemas de ganadería, sobre todo en operaciones con animales en estabulación o confinados, como granjas lecheras, de cerdos y de aves de corral. Los purines suelen recogerse de las zonas de estabulación y se almacenan en tanques, lagunas o fosos antes de aplicarse a los campos agrícolas como fertilizante rico en nutrientes.</w:t>
            </w:r>
          </w:p>
        </w:tc>
        <w:tc>
          <w:tcPr>
            <w:tcW w:w="616" w:type="dxa"/>
          </w:tcPr>
          <w:p w14:paraId="6CF98805"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4, 42</w:t>
            </w:r>
          </w:p>
        </w:tc>
      </w:tr>
      <w:tr w:rsidR="008C1EAE" w:rsidRPr="008C1EAE" w14:paraId="49BB3A05" w14:textId="77777777" w:rsidTr="2C6C7817">
        <w:tc>
          <w:tcPr>
            <w:tcW w:w="2062" w:type="dxa"/>
          </w:tcPr>
          <w:p w14:paraId="381CF961"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Reducción</w:t>
            </w:r>
          </w:p>
        </w:tc>
        <w:tc>
          <w:tcPr>
            <w:tcW w:w="1469" w:type="dxa"/>
          </w:tcPr>
          <w:p w14:paraId="4A97C891" w14:textId="77777777" w:rsidR="008C1EAE" w:rsidRPr="008C1EAE" w:rsidRDefault="008C1EAE" w:rsidP="00525540">
            <w:pPr>
              <w:jc w:val="both"/>
              <w:rPr>
                <w:rFonts w:ascii="Times New Roman" w:hAnsi="Times New Roman" w:cs="Times New Roman"/>
                <w:lang w:val="en-GB"/>
              </w:rPr>
            </w:pPr>
          </w:p>
        </w:tc>
        <w:tc>
          <w:tcPr>
            <w:tcW w:w="5615" w:type="dxa"/>
          </w:tcPr>
          <w:p w14:paraId="3BF643B5" w14:textId="77777777" w:rsidR="008C1EAE" w:rsidRPr="008C1EAE" w:rsidRDefault="008C1EAE" w:rsidP="00525540">
            <w:pPr>
              <w:jc w:val="both"/>
              <w:rPr>
                <w:rFonts w:ascii="Times New Roman" w:hAnsi="Times New Roman" w:cs="Times New Roman"/>
                <w:lang w:val="en-GB"/>
              </w:rPr>
            </w:pPr>
            <w:r w:rsidRPr="008C1EAE">
              <w:rPr>
                <w:rFonts w:ascii="Times New Roman" w:hAnsi="Times New Roman" w:cs="Times New Roman"/>
                <w:lang w:val="es"/>
              </w:rPr>
              <w:t>La adición de hidrógeno, la eliminación de oxígeno o la adición de electrones de un elemento o compuesto. Bajo condiciones anaeróbicas y de redox (en las que no hay oxígeno disuelto), como en los suelos de «gley», los compuestos de azufre se reducen a sulfuro de hidrógeno (H</w:t>
            </w:r>
            <w:r w:rsidRPr="008C1EAE">
              <w:rPr>
                <w:rFonts w:ascii="Times New Roman" w:hAnsi="Times New Roman" w:cs="Times New Roman"/>
                <w:vertAlign w:val="subscript"/>
                <w:lang w:val="es"/>
              </w:rPr>
              <w:t>2</w:t>
            </w:r>
            <w:r w:rsidRPr="008C1EAE">
              <w:rPr>
                <w:rFonts w:ascii="Times New Roman" w:hAnsi="Times New Roman" w:cs="Times New Roman"/>
                <w:lang w:val="es"/>
              </w:rPr>
              <w:t>S), que produce olores, y a otros compuestos. La reducción es lo contrario de la oxidación.</w:t>
            </w:r>
          </w:p>
        </w:tc>
        <w:tc>
          <w:tcPr>
            <w:tcW w:w="616" w:type="dxa"/>
          </w:tcPr>
          <w:p w14:paraId="71905935"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5451905F" w14:textId="77777777" w:rsidTr="2C6C7817">
        <w:tc>
          <w:tcPr>
            <w:tcW w:w="2062" w:type="dxa"/>
          </w:tcPr>
          <w:p w14:paraId="2EAD9DB8"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Residuo</w:t>
            </w:r>
          </w:p>
        </w:tc>
        <w:tc>
          <w:tcPr>
            <w:tcW w:w="1469" w:type="dxa"/>
          </w:tcPr>
          <w:p w14:paraId="558875C2" w14:textId="77777777" w:rsidR="008C1EAE" w:rsidRPr="008C1EAE" w:rsidRDefault="008C1EAE" w:rsidP="00525540">
            <w:pPr>
              <w:jc w:val="both"/>
              <w:rPr>
                <w:rFonts w:ascii="Times New Roman" w:hAnsi="Times New Roman" w:cs="Times New Roman"/>
                <w:lang w:val="en-GB"/>
              </w:rPr>
            </w:pPr>
          </w:p>
        </w:tc>
        <w:tc>
          <w:tcPr>
            <w:tcW w:w="5615" w:type="dxa"/>
          </w:tcPr>
          <w:p w14:paraId="6F1A6C1D"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Cualquier materia orgánica generada durante la producción, el procesamiento o el consumo de cultivos, que incluye desde raíces, rastrojos, paja y hojas, hasta «residuos» industriales y urbanos.</w:t>
            </w:r>
          </w:p>
        </w:tc>
        <w:tc>
          <w:tcPr>
            <w:tcW w:w="616" w:type="dxa"/>
          </w:tcPr>
          <w:p w14:paraId="63B2902A"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2028DB2C" w14:textId="77777777" w:rsidTr="2C6C7817">
        <w:tc>
          <w:tcPr>
            <w:tcW w:w="2062" w:type="dxa"/>
          </w:tcPr>
          <w:p w14:paraId="581C62AE"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Resiliencia</w:t>
            </w:r>
          </w:p>
        </w:tc>
        <w:tc>
          <w:tcPr>
            <w:tcW w:w="1469" w:type="dxa"/>
          </w:tcPr>
          <w:p w14:paraId="540282B4" w14:textId="77777777" w:rsidR="008C1EAE" w:rsidRPr="008C1EAE" w:rsidRDefault="008C1EAE" w:rsidP="00525540">
            <w:pPr>
              <w:jc w:val="both"/>
              <w:rPr>
                <w:rFonts w:ascii="Times New Roman" w:hAnsi="Times New Roman" w:cs="Times New Roman"/>
                <w:lang w:val="en-GB"/>
              </w:rPr>
            </w:pPr>
          </w:p>
        </w:tc>
        <w:tc>
          <w:tcPr>
            <w:tcW w:w="5615" w:type="dxa"/>
          </w:tcPr>
          <w:p w14:paraId="7F5D16E4"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La capacidad de un sistema y de las partes que lo componen para prever, absorber, adaptarse o recuperarse de los efectos de un acontecimiento peligroso a tiempo y de forma eficaz, lo que incluye garantizar la conservación, restauración o mejora de su estructura y función básicas esenciales.</w:t>
            </w:r>
          </w:p>
        </w:tc>
        <w:tc>
          <w:tcPr>
            <w:tcW w:w="616" w:type="dxa"/>
          </w:tcPr>
          <w:p w14:paraId="3144316C"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w:t>
            </w:r>
          </w:p>
        </w:tc>
      </w:tr>
      <w:tr w:rsidR="008C1EAE" w:rsidRPr="008C1EAE" w14:paraId="2F73DE3C" w14:textId="77777777" w:rsidTr="2C6C7817">
        <w:tc>
          <w:tcPr>
            <w:tcW w:w="2062" w:type="dxa"/>
          </w:tcPr>
          <w:p w14:paraId="5A6CDFC7"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Resistencia</w:t>
            </w:r>
          </w:p>
        </w:tc>
        <w:tc>
          <w:tcPr>
            <w:tcW w:w="1469" w:type="dxa"/>
          </w:tcPr>
          <w:p w14:paraId="1DD1C95C" w14:textId="77777777" w:rsidR="008C1EAE" w:rsidRPr="008C1EAE" w:rsidRDefault="008C1EAE" w:rsidP="00525540">
            <w:pPr>
              <w:jc w:val="both"/>
              <w:rPr>
                <w:rFonts w:ascii="Times New Roman" w:hAnsi="Times New Roman" w:cs="Times New Roman"/>
                <w:lang w:val="en-GB"/>
              </w:rPr>
            </w:pPr>
          </w:p>
        </w:tc>
        <w:tc>
          <w:tcPr>
            <w:tcW w:w="5615" w:type="dxa"/>
          </w:tcPr>
          <w:p w14:paraId="14268FC3"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La capacidad de un ecosistema para resistir frente a un elemento estresante o perturbador sin que se produzcan cambios adversos en su estructura o función, manteniendo así un estado de equilibrio.</w:t>
            </w:r>
          </w:p>
        </w:tc>
        <w:tc>
          <w:tcPr>
            <w:tcW w:w="616" w:type="dxa"/>
          </w:tcPr>
          <w:p w14:paraId="2665EE4E"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6A82C60B" w14:textId="77777777" w:rsidTr="2C6C7817">
        <w:tc>
          <w:tcPr>
            <w:tcW w:w="2062" w:type="dxa"/>
          </w:tcPr>
          <w:p w14:paraId="0B216A9C"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lastRenderedPageBreak/>
              <w:t>Salinización</w:t>
            </w:r>
          </w:p>
        </w:tc>
        <w:tc>
          <w:tcPr>
            <w:tcW w:w="1469" w:type="dxa"/>
          </w:tcPr>
          <w:p w14:paraId="1C0388BD" w14:textId="77777777" w:rsidR="008C1EAE" w:rsidRPr="008C1EAE" w:rsidRDefault="008C1EAE" w:rsidP="00525540">
            <w:pPr>
              <w:jc w:val="both"/>
              <w:rPr>
                <w:rFonts w:ascii="Times New Roman" w:hAnsi="Times New Roman" w:cs="Times New Roman"/>
                <w:lang w:val="en-GB"/>
              </w:rPr>
            </w:pPr>
          </w:p>
        </w:tc>
        <w:tc>
          <w:tcPr>
            <w:tcW w:w="5615" w:type="dxa"/>
          </w:tcPr>
          <w:p w14:paraId="4EA178A0" w14:textId="77777777" w:rsidR="008C1EAE" w:rsidRPr="008C1EAE" w:rsidRDefault="008C1EAE" w:rsidP="00525540">
            <w:pPr>
              <w:jc w:val="both"/>
              <w:rPr>
                <w:rFonts w:ascii="Times New Roman" w:hAnsi="Times New Roman" w:cs="Times New Roman"/>
                <w:lang w:val="es-ES"/>
              </w:rPr>
            </w:pPr>
            <w:bookmarkStart w:id="2" w:name="_Hlk187700189"/>
            <w:r w:rsidRPr="008C1EAE">
              <w:rPr>
                <w:rFonts w:ascii="Times New Roman" w:hAnsi="Times New Roman" w:cs="Times New Roman"/>
                <w:lang w:val="es"/>
              </w:rPr>
              <w:t>Acumulación de sales solubles (más solubles que el yeso) en las capas superiores del suelo (suelo salino = suelo que contiene suficientes sales solubles para afectar negativamente a la mayoría de las plantas de cultivo, normalmente 4000 μS m</w:t>
            </w:r>
            <w:r w:rsidRPr="008C1EAE">
              <w:rPr>
                <w:rFonts w:ascii="Times New Roman" w:hAnsi="Times New Roman" w:cs="Times New Roman"/>
                <w:vertAlign w:val="superscript"/>
                <w:lang w:val="es"/>
              </w:rPr>
              <w:t>-1</w:t>
            </w:r>
            <w:r w:rsidRPr="008C1EAE">
              <w:rPr>
                <w:rFonts w:ascii="Times New Roman" w:hAnsi="Times New Roman" w:cs="Times New Roman"/>
                <w:lang w:val="es"/>
              </w:rPr>
              <w:t>).</w:t>
            </w:r>
            <w:bookmarkEnd w:id="2"/>
          </w:p>
        </w:tc>
        <w:tc>
          <w:tcPr>
            <w:tcW w:w="616" w:type="dxa"/>
          </w:tcPr>
          <w:p w14:paraId="239D7448"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573DAB81" w14:textId="77777777" w:rsidTr="2C6C7817">
        <w:tc>
          <w:tcPr>
            <w:tcW w:w="2062" w:type="dxa"/>
          </w:tcPr>
          <w:p w14:paraId="35F496AC"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Salud de la tierra</w:t>
            </w:r>
          </w:p>
        </w:tc>
        <w:tc>
          <w:tcPr>
            <w:tcW w:w="1469" w:type="dxa"/>
          </w:tcPr>
          <w:p w14:paraId="034515EF" w14:textId="77777777" w:rsidR="008C1EAE" w:rsidRPr="008C1EAE" w:rsidRDefault="008C1EAE" w:rsidP="00525540">
            <w:pPr>
              <w:jc w:val="both"/>
              <w:rPr>
                <w:rFonts w:ascii="Times New Roman" w:hAnsi="Times New Roman" w:cs="Times New Roman"/>
                <w:lang w:val="en-GB"/>
              </w:rPr>
            </w:pPr>
          </w:p>
        </w:tc>
        <w:tc>
          <w:tcPr>
            <w:tcW w:w="5615" w:type="dxa"/>
          </w:tcPr>
          <w:p w14:paraId="0C673650"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La capacidad que tiene la tierra, en relación con su potencial, para mantener la prestación de servicios de los ecosistemas.</w:t>
            </w:r>
          </w:p>
        </w:tc>
        <w:tc>
          <w:tcPr>
            <w:tcW w:w="616" w:type="dxa"/>
          </w:tcPr>
          <w:p w14:paraId="6E9B4F4A"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w:t>
            </w:r>
          </w:p>
        </w:tc>
      </w:tr>
      <w:tr w:rsidR="008C1EAE" w:rsidRPr="008C1EAE" w14:paraId="27962392" w14:textId="77777777" w:rsidTr="2C6C7817">
        <w:tc>
          <w:tcPr>
            <w:tcW w:w="2062" w:type="dxa"/>
          </w:tcPr>
          <w:p w14:paraId="73E9587D" w14:textId="77777777" w:rsidR="008C1EAE" w:rsidRPr="008C1EAE" w:rsidRDefault="008C1EAE" w:rsidP="00A655ED">
            <w:pPr>
              <w:rPr>
                <w:rFonts w:ascii="Times New Roman" w:hAnsi="Times New Roman" w:cs="Times New Roman"/>
                <w:lang w:val="en-GB"/>
              </w:rPr>
            </w:pPr>
            <w:r w:rsidRPr="008C1EAE">
              <w:rPr>
                <w:rFonts w:ascii="Times New Roman" w:hAnsi="Times New Roman" w:cs="Times New Roman"/>
                <w:b/>
                <w:color w:val="3A7C22" w:themeColor="accent6" w:themeShade="BF"/>
                <w:lang w:val="es"/>
              </w:rPr>
              <w:t>Salud del suelo</w:t>
            </w:r>
          </w:p>
        </w:tc>
        <w:tc>
          <w:tcPr>
            <w:tcW w:w="1469" w:type="dxa"/>
          </w:tcPr>
          <w:p w14:paraId="59F4B170" w14:textId="77777777" w:rsidR="008C1EAE" w:rsidRPr="008C1EAE" w:rsidRDefault="008C1EAE" w:rsidP="00525540">
            <w:pPr>
              <w:jc w:val="both"/>
              <w:rPr>
                <w:rFonts w:ascii="Times New Roman" w:hAnsi="Times New Roman" w:cs="Times New Roman"/>
                <w:lang w:val="en-GB"/>
              </w:rPr>
            </w:pPr>
          </w:p>
        </w:tc>
        <w:tc>
          <w:tcPr>
            <w:tcW w:w="5615" w:type="dxa"/>
          </w:tcPr>
          <w:p w14:paraId="1B48039C"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El suelo es la base del 95 % de nuestros alimentos. Si los suelos están sanos, ofrecen servicios de ecosistemas esenciales, como agua limpia y hábitats para la biodiversidad. Son importantes reservas de carbono, que contribuyen a ralentizar el inicio del cambio climático a la vez que nos hacen más resilientes frente a fenómenos climáticos extremos. Los suelos son una parte fundamental de los paisajes que todos apreciamos y son la base de nuestra economía y prosperidad. Un suelo sano es la capacidad continuada del suelo para actuar como un sistema vivo vital.</w:t>
            </w:r>
          </w:p>
        </w:tc>
        <w:tc>
          <w:tcPr>
            <w:tcW w:w="616" w:type="dxa"/>
          </w:tcPr>
          <w:p w14:paraId="34BF3D0E"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1,46</w:t>
            </w:r>
          </w:p>
        </w:tc>
      </w:tr>
      <w:tr w:rsidR="008C1EAE" w:rsidRPr="008C1EAE" w14:paraId="40AA83DF" w14:textId="77777777" w:rsidTr="2C6C7817">
        <w:tc>
          <w:tcPr>
            <w:tcW w:w="2062" w:type="dxa"/>
          </w:tcPr>
          <w:p w14:paraId="45DF5794" w14:textId="77777777" w:rsidR="008C1EAE" w:rsidRPr="008C1EAE" w:rsidRDefault="008C1EAE" w:rsidP="00A655ED">
            <w:pPr>
              <w:rPr>
                <w:rFonts w:ascii="Times New Roman" w:hAnsi="Times New Roman" w:cs="Times New Roman"/>
                <w:b/>
                <w:color w:val="BF4E14" w:themeColor="accent2" w:themeShade="BF"/>
                <w:lang w:val="en-GB"/>
              </w:rPr>
            </w:pPr>
            <w:r w:rsidRPr="008C1EAE">
              <w:rPr>
                <w:rFonts w:ascii="Times New Roman" w:hAnsi="Times New Roman" w:cs="Times New Roman"/>
                <w:b/>
                <w:color w:val="3A7C22" w:themeColor="accent6" w:themeShade="BF"/>
                <w:lang w:val="es"/>
              </w:rPr>
              <w:t>Salud planetaria</w:t>
            </w:r>
          </w:p>
        </w:tc>
        <w:tc>
          <w:tcPr>
            <w:tcW w:w="1469" w:type="dxa"/>
          </w:tcPr>
          <w:p w14:paraId="242FA3CE" w14:textId="77777777" w:rsidR="008C1EAE" w:rsidRPr="008C1EAE" w:rsidRDefault="008C1EAE" w:rsidP="00A655ED">
            <w:pPr>
              <w:jc w:val="both"/>
              <w:rPr>
                <w:rFonts w:ascii="Times New Roman" w:hAnsi="Times New Roman" w:cs="Times New Roman"/>
                <w:lang w:val="en-GB"/>
              </w:rPr>
            </w:pPr>
          </w:p>
        </w:tc>
        <w:tc>
          <w:tcPr>
            <w:tcW w:w="5615" w:type="dxa"/>
          </w:tcPr>
          <w:p w14:paraId="52ABE3E9"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Para la salud planetaria, el suelo contribuye a múltiples procesos vitales, como la producción de biomasa, la regulación de la reserva de carbono, la provisión de un hábitat para el 25 % de la biodiversidad mundial, el ciclo de los nutrientes de los que dependen los sistemas terrestres y el ciclo del agua. La degradación del suelo atenta directamente contra la salud planetaria y reduce la capacidad del suelo para sostener la salud de las futuras generaciones humanas.</w:t>
            </w:r>
          </w:p>
        </w:tc>
        <w:tc>
          <w:tcPr>
            <w:tcW w:w="616" w:type="dxa"/>
          </w:tcPr>
          <w:p w14:paraId="275345D3"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12</w:t>
            </w:r>
          </w:p>
        </w:tc>
      </w:tr>
      <w:tr w:rsidR="008C1EAE" w:rsidRPr="008C1EAE" w14:paraId="33E42CAC" w14:textId="77777777" w:rsidTr="2C6C7817">
        <w:tc>
          <w:tcPr>
            <w:tcW w:w="2062" w:type="dxa"/>
          </w:tcPr>
          <w:p w14:paraId="6891E224"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Saturación de bases</w:t>
            </w:r>
          </w:p>
        </w:tc>
        <w:tc>
          <w:tcPr>
            <w:tcW w:w="1469" w:type="dxa"/>
          </w:tcPr>
          <w:p w14:paraId="3F9D8101" w14:textId="77777777" w:rsidR="008C1EAE" w:rsidRPr="008C1EAE" w:rsidRDefault="008C1EAE" w:rsidP="002A67F8">
            <w:pPr>
              <w:tabs>
                <w:tab w:val="left" w:pos="262"/>
              </w:tabs>
              <w:jc w:val="both"/>
              <w:rPr>
                <w:rFonts w:ascii="Times New Roman" w:hAnsi="Times New Roman" w:cs="Times New Roman"/>
                <w:lang w:val="en-GB"/>
              </w:rPr>
            </w:pPr>
          </w:p>
        </w:tc>
        <w:tc>
          <w:tcPr>
            <w:tcW w:w="5615" w:type="dxa"/>
          </w:tcPr>
          <w:p w14:paraId="186ADBDB" w14:textId="77777777" w:rsidR="008C1EAE" w:rsidRPr="008C1EAE" w:rsidRDefault="008C1EAE" w:rsidP="002A67F8">
            <w:pPr>
              <w:tabs>
                <w:tab w:val="left" w:pos="262"/>
              </w:tabs>
              <w:jc w:val="both"/>
              <w:rPr>
                <w:rFonts w:ascii="Times New Roman" w:hAnsi="Times New Roman" w:cs="Times New Roman"/>
                <w:lang w:val="es-ES"/>
              </w:rPr>
            </w:pPr>
            <w:r w:rsidRPr="008C1EAE">
              <w:rPr>
                <w:rFonts w:ascii="Times New Roman" w:hAnsi="Times New Roman" w:cs="Times New Roman"/>
                <w:lang w:val="es"/>
              </w:rPr>
              <w:t>El grado en el que un suelo con propiedades de intercambio catiónico está saturado de bases intercambiables (la suma de Ca, Mg, Na y K), expresado como porcentaje de la capacidad total de intercambio catiónico.</w:t>
            </w:r>
          </w:p>
        </w:tc>
        <w:tc>
          <w:tcPr>
            <w:tcW w:w="616" w:type="dxa"/>
          </w:tcPr>
          <w:p w14:paraId="568127E4"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w:t>
            </w:r>
          </w:p>
        </w:tc>
      </w:tr>
      <w:tr w:rsidR="008C1EAE" w:rsidRPr="008C1EAE" w14:paraId="7BDD360D" w14:textId="77777777" w:rsidTr="2C6C7817">
        <w:tc>
          <w:tcPr>
            <w:tcW w:w="2062" w:type="dxa"/>
          </w:tcPr>
          <w:p w14:paraId="539289F7"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Secuestro del carbono del suelo</w:t>
            </w:r>
          </w:p>
        </w:tc>
        <w:tc>
          <w:tcPr>
            <w:tcW w:w="1469" w:type="dxa"/>
          </w:tcPr>
          <w:p w14:paraId="37C3AD83" w14:textId="77777777" w:rsidR="008C1EAE" w:rsidRPr="008C1EAE" w:rsidRDefault="008C1EAE" w:rsidP="00525540">
            <w:pPr>
              <w:jc w:val="both"/>
              <w:rPr>
                <w:rFonts w:ascii="Times New Roman" w:hAnsi="Times New Roman" w:cs="Times New Roman"/>
                <w:lang w:val="en-GB"/>
              </w:rPr>
            </w:pPr>
          </w:p>
        </w:tc>
        <w:tc>
          <w:tcPr>
            <w:tcW w:w="5615" w:type="dxa"/>
          </w:tcPr>
          <w:p w14:paraId="68E439D4"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La capacidad del suelo para almacenar carbono en forma no lábil con el objetivo de reducir la concentración de CO</w:t>
            </w:r>
            <w:r w:rsidRPr="008C1EAE">
              <w:rPr>
                <w:rFonts w:ascii="Times New Roman" w:hAnsi="Times New Roman" w:cs="Times New Roman"/>
                <w:vertAlign w:val="subscript"/>
                <w:lang w:val="es"/>
              </w:rPr>
              <w:t>2</w:t>
            </w:r>
            <w:r w:rsidRPr="008C1EAE">
              <w:rPr>
                <w:rFonts w:ascii="Times New Roman" w:hAnsi="Times New Roman" w:cs="Times New Roman"/>
                <w:lang w:val="es"/>
              </w:rPr>
              <w:t xml:space="preserve"> en la atmósfera.</w:t>
            </w:r>
          </w:p>
        </w:tc>
        <w:tc>
          <w:tcPr>
            <w:tcW w:w="616" w:type="dxa"/>
          </w:tcPr>
          <w:p w14:paraId="168B5F8C"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5CDB1AA4" w14:textId="77777777" w:rsidTr="2C6C7817">
        <w:tc>
          <w:tcPr>
            <w:tcW w:w="2062" w:type="dxa"/>
          </w:tcPr>
          <w:p w14:paraId="706F99C4"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Servicios de ecosistemas</w:t>
            </w:r>
          </w:p>
        </w:tc>
        <w:tc>
          <w:tcPr>
            <w:tcW w:w="1469" w:type="dxa"/>
          </w:tcPr>
          <w:p w14:paraId="046AD697" w14:textId="77777777" w:rsidR="008C1EAE" w:rsidRPr="008C1EAE" w:rsidRDefault="008C1EAE" w:rsidP="002A67F8">
            <w:pPr>
              <w:jc w:val="both"/>
              <w:rPr>
                <w:rFonts w:ascii="Times New Roman" w:hAnsi="Times New Roman" w:cs="Times New Roman"/>
                <w:lang w:val="en-GB"/>
              </w:rPr>
            </w:pPr>
          </w:p>
        </w:tc>
        <w:tc>
          <w:tcPr>
            <w:tcW w:w="5615" w:type="dxa"/>
          </w:tcPr>
          <w:p w14:paraId="11B6FF01"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Las contribuciones que hacen los ecosistemas a los beneficios obtenidos en las actividades económicas y en otras actividades del ser humano. Los servicios de ecosistemas se pueden agrupar a grandes rasgos en cuatro categorías:</w:t>
            </w:r>
          </w:p>
          <w:p w14:paraId="346179EB" w14:textId="77777777" w:rsidR="008C1EAE" w:rsidRPr="008C1EAE" w:rsidRDefault="008C1EAE" w:rsidP="00373999">
            <w:pPr>
              <w:pStyle w:val="Prrafodelista"/>
              <w:numPr>
                <w:ilvl w:val="0"/>
                <w:numId w:val="4"/>
              </w:numPr>
              <w:ind w:left="360"/>
              <w:jc w:val="both"/>
              <w:rPr>
                <w:rFonts w:ascii="Times New Roman" w:hAnsi="Times New Roman" w:cs="Times New Roman"/>
                <w:lang w:val="es-ES"/>
              </w:rPr>
            </w:pPr>
            <w:r w:rsidRPr="008C1EAE">
              <w:rPr>
                <w:rFonts w:ascii="Times New Roman" w:hAnsi="Times New Roman" w:cs="Times New Roman"/>
                <w:lang w:val="es"/>
              </w:rPr>
              <w:t xml:space="preserve">Los servicios de aprovisionamiento, que corresponden a las contribuciones materiales y energéticas generadas por o en un ecosistema (por ejemplo, las plantas con propiedades farmacéuticas). </w:t>
            </w:r>
          </w:p>
          <w:p w14:paraId="1A8EFAD3" w14:textId="77777777" w:rsidR="008C1EAE" w:rsidRPr="008C1EAE" w:rsidRDefault="008C1EAE" w:rsidP="00CB5EC8">
            <w:pPr>
              <w:pStyle w:val="Prrafodelista"/>
              <w:numPr>
                <w:ilvl w:val="0"/>
                <w:numId w:val="4"/>
              </w:numPr>
              <w:ind w:left="360"/>
              <w:jc w:val="both"/>
              <w:rPr>
                <w:rFonts w:ascii="Times New Roman" w:hAnsi="Times New Roman" w:cs="Times New Roman"/>
                <w:lang w:val="es-ES"/>
              </w:rPr>
            </w:pPr>
            <w:r w:rsidRPr="008C1EAE">
              <w:rPr>
                <w:rFonts w:ascii="Times New Roman" w:hAnsi="Times New Roman" w:cs="Times New Roman"/>
                <w:lang w:val="es"/>
              </w:rPr>
              <w:t xml:space="preserve">Los servicios de regulación, que derivan de la capacidad de los ecosistemas para regular el clima, los ciclos hidrológicos y bioquímicos, los procesos de la superficie terrestre y una serie de procesos biológicos. </w:t>
            </w:r>
          </w:p>
          <w:p w14:paraId="7A392AF1" w14:textId="77777777" w:rsidR="008C1EAE" w:rsidRPr="008C1EAE" w:rsidRDefault="008C1EAE" w:rsidP="00CB5EC8">
            <w:pPr>
              <w:pStyle w:val="Prrafodelista"/>
              <w:numPr>
                <w:ilvl w:val="0"/>
                <w:numId w:val="4"/>
              </w:numPr>
              <w:ind w:left="360"/>
              <w:jc w:val="both"/>
              <w:rPr>
                <w:rFonts w:ascii="Times New Roman" w:hAnsi="Times New Roman" w:cs="Times New Roman"/>
                <w:lang w:val="es-ES"/>
              </w:rPr>
            </w:pPr>
            <w:r w:rsidRPr="008C1EAE">
              <w:rPr>
                <w:rFonts w:ascii="Times New Roman" w:hAnsi="Times New Roman" w:cs="Times New Roman"/>
                <w:lang w:val="es"/>
              </w:rPr>
              <w:t>Los servicios culturales, que se generan a partir de los entornos físicos, lugares o situaciones que originan beneficios intelectuales y simbólicos que las personas obtienen de los ecosistemas mediante la recreación, el desarrollo de conocimientos, la relajación y la reflexión espiritual.</w:t>
            </w:r>
          </w:p>
          <w:p w14:paraId="7E316BE3" w14:textId="77777777" w:rsidR="008C1EAE" w:rsidRPr="008C1EAE" w:rsidRDefault="008C1EAE" w:rsidP="00373999">
            <w:pPr>
              <w:pStyle w:val="Prrafodelista"/>
              <w:numPr>
                <w:ilvl w:val="0"/>
                <w:numId w:val="4"/>
              </w:numPr>
              <w:ind w:left="360"/>
              <w:jc w:val="both"/>
              <w:rPr>
                <w:rFonts w:ascii="Times New Roman" w:hAnsi="Times New Roman" w:cs="Times New Roman"/>
                <w:lang w:val="es-ES"/>
              </w:rPr>
            </w:pPr>
            <w:r w:rsidRPr="008C1EAE">
              <w:rPr>
                <w:rFonts w:ascii="Times New Roman" w:hAnsi="Times New Roman" w:cs="Times New Roman"/>
                <w:lang w:val="es"/>
              </w:rPr>
              <w:t xml:space="preserve">Los servicios de apoyo son los procesos naturales fundamentales que mantienen las condiciones para la vida en la Tierra y que permiten el suministro del resto de servicios de ecosistemas (los servicios de aprovisionamiento, de regulación y culturales). Entre </w:t>
            </w:r>
            <w:r w:rsidRPr="008C1EAE">
              <w:rPr>
                <w:rFonts w:ascii="Times New Roman" w:hAnsi="Times New Roman" w:cs="Times New Roman"/>
                <w:lang w:val="es"/>
              </w:rPr>
              <w:lastRenderedPageBreak/>
              <w:t>estos servicios se incluyen la formación del suelo, el ciclo de nutrientes, la producción primaria, el ciclo del agua y la provisión de hábitats.</w:t>
            </w:r>
          </w:p>
        </w:tc>
        <w:tc>
          <w:tcPr>
            <w:tcW w:w="616" w:type="dxa"/>
          </w:tcPr>
          <w:p w14:paraId="4904EBE9"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lastRenderedPageBreak/>
              <w:t>1, 43</w:t>
            </w:r>
          </w:p>
        </w:tc>
      </w:tr>
      <w:tr w:rsidR="008C1EAE" w:rsidRPr="008C1EAE" w14:paraId="7D7007D7" w14:textId="77777777" w:rsidTr="2C6C7817">
        <w:tc>
          <w:tcPr>
            <w:tcW w:w="2062" w:type="dxa"/>
          </w:tcPr>
          <w:p w14:paraId="5C99ECFA" w14:textId="77777777" w:rsidR="008C1EAE" w:rsidRPr="008C1EAE" w:rsidRDefault="008C1EAE" w:rsidP="002A67F8">
            <w:pPr>
              <w:rPr>
                <w:rFonts w:ascii="Times New Roman" w:hAnsi="Times New Roman" w:cs="Times New Roman"/>
                <w:b/>
                <w:color w:val="3A7C22" w:themeColor="accent6" w:themeShade="BF"/>
                <w:lang w:val="es-ES"/>
              </w:rPr>
            </w:pPr>
            <w:r w:rsidRPr="008C1EAE">
              <w:rPr>
                <w:rFonts w:ascii="Times New Roman" w:hAnsi="Times New Roman" w:cs="Times New Roman"/>
                <w:b/>
                <w:color w:val="3A7C22" w:themeColor="accent6" w:themeShade="BF"/>
                <w:lang w:val="es"/>
              </w:rPr>
              <w:t>Servicios de ecosistemas del suelo</w:t>
            </w:r>
          </w:p>
        </w:tc>
        <w:tc>
          <w:tcPr>
            <w:tcW w:w="1469" w:type="dxa"/>
          </w:tcPr>
          <w:p w14:paraId="18252623" w14:textId="77777777" w:rsidR="008C1EAE" w:rsidRPr="008C1EAE" w:rsidRDefault="008C1EAE" w:rsidP="00525540">
            <w:pPr>
              <w:jc w:val="both"/>
              <w:rPr>
                <w:rFonts w:ascii="Times New Roman" w:hAnsi="Times New Roman" w:cs="Times New Roman"/>
                <w:lang w:val="es-ES"/>
              </w:rPr>
            </w:pPr>
          </w:p>
        </w:tc>
        <w:tc>
          <w:tcPr>
            <w:tcW w:w="5615" w:type="dxa"/>
          </w:tcPr>
          <w:p w14:paraId="6434D518"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El subconjunto de servicios de los ecosistemas relacionados con el suelo, controlados o proporcionados de forma directa y cuantificable por los suelos y sus propiedades, procesos y funciones químicas, físicas y biológicas.</w:t>
            </w:r>
          </w:p>
        </w:tc>
        <w:tc>
          <w:tcPr>
            <w:tcW w:w="616" w:type="dxa"/>
          </w:tcPr>
          <w:p w14:paraId="59DFE564"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2</w:t>
            </w:r>
          </w:p>
        </w:tc>
      </w:tr>
      <w:tr w:rsidR="008C1EAE" w:rsidRPr="008C1EAE" w14:paraId="49494434" w14:textId="77777777" w:rsidTr="2C6C7817">
        <w:tc>
          <w:tcPr>
            <w:tcW w:w="2062" w:type="dxa"/>
          </w:tcPr>
          <w:p w14:paraId="4DE9AD21" w14:textId="77777777" w:rsidR="008C1EAE" w:rsidRPr="008C1EAE" w:rsidRDefault="008C1EAE" w:rsidP="2C6C7817">
            <w:pPr>
              <w:rPr>
                <w:rFonts w:ascii="Times New Roman" w:hAnsi="Times New Roman" w:cs="Times New Roman"/>
                <w:b/>
                <w:bCs/>
                <w:color w:val="3A7C22" w:themeColor="accent6" w:themeShade="BF"/>
                <w:lang w:val="en-GB"/>
              </w:rPr>
            </w:pPr>
            <w:r w:rsidRPr="008C1EAE">
              <w:rPr>
                <w:rFonts w:ascii="Times New Roman" w:hAnsi="Times New Roman" w:cs="Times New Roman"/>
                <w:b/>
                <w:bCs/>
                <w:color w:val="3A7C22" w:themeColor="accent6" w:themeShade="BF"/>
                <w:lang w:val="es"/>
              </w:rPr>
              <w:t>Sin laboreo</w:t>
            </w:r>
          </w:p>
        </w:tc>
        <w:tc>
          <w:tcPr>
            <w:tcW w:w="1469" w:type="dxa"/>
          </w:tcPr>
          <w:p w14:paraId="18A3A5BB" w14:textId="77777777" w:rsidR="008C1EAE" w:rsidRPr="008C1EAE" w:rsidRDefault="008C1EAE" w:rsidP="00525540">
            <w:pPr>
              <w:jc w:val="both"/>
              <w:rPr>
                <w:rFonts w:ascii="Times New Roman" w:hAnsi="Times New Roman" w:cs="Times New Roman"/>
                <w:lang w:val="en-GB"/>
              </w:rPr>
            </w:pPr>
          </w:p>
        </w:tc>
        <w:tc>
          <w:tcPr>
            <w:tcW w:w="5615" w:type="dxa"/>
          </w:tcPr>
          <w:p w14:paraId="5919A922"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La principal práctica agronómica en la agricultura de conservación para los cultivos anuales. Se trata de un método de cultivo que no perturba el suelo mediante el laboreo. En la práctica sin laboreo, al menos el 30 % de la superficie debe estar cubierta por residuos vegetales inmediatamente después del establecimiento del cultivo. Los cultivos se siembran con maquinaria que permite colocar las semillas a través de los residuos vegetales de los cultivos anteriores.</w:t>
            </w:r>
          </w:p>
          <w:p w14:paraId="487A7204"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La práctica sin laboreo es la principal práctica agronómica que caracteriza a la agricultura de conservación para los cultivos anuales, y ofrece el máximo nivel de conservación del suelo. Esto se debe a que elimina el laboreo mecánico del suelo. Además, en climas áridos, la práctica sin laboreo ayuda a retener el agua en el suelo al reducir las pérdidas por evaporación de la superficie del suelo, que suelen aumentar con el laboreo convencional que implica la inversión del suelo.</w:t>
            </w:r>
          </w:p>
        </w:tc>
        <w:tc>
          <w:tcPr>
            <w:tcW w:w="616" w:type="dxa"/>
          </w:tcPr>
          <w:p w14:paraId="1C74D62D"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w:t>
            </w:r>
          </w:p>
        </w:tc>
      </w:tr>
      <w:tr w:rsidR="008C1EAE" w:rsidRPr="008C1EAE" w14:paraId="0DEB9644" w14:textId="77777777" w:rsidTr="2C6C7817">
        <w:tc>
          <w:tcPr>
            <w:tcW w:w="2062" w:type="dxa"/>
          </w:tcPr>
          <w:p w14:paraId="1ACA6026" w14:textId="77777777" w:rsidR="008C1EAE" w:rsidRPr="008C1EAE" w:rsidRDefault="008C1EAE" w:rsidP="00A655ED">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Sistema vivo</w:t>
            </w:r>
          </w:p>
        </w:tc>
        <w:tc>
          <w:tcPr>
            <w:tcW w:w="1469" w:type="dxa"/>
          </w:tcPr>
          <w:p w14:paraId="60D762CD" w14:textId="77777777" w:rsidR="008C1EAE" w:rsidRPr="008C1EAE" w:rsidRDefault="008C1EAE" w:rsidP="00A655ED">
            <w:pPr>
              <w:jc w:val="both"/>
              <w:rPr>
                <w:rFonts w:ascii="Times New Roman" w:hAnsi="Times New Roman" w:cs="Times New Roman"/>
                <w:lang w:val="en-GB"/>
              </w:rPr>
            </w:pPr>
          </w:p>
        </w:tc>
        <w:tc>
          <w:tcPr>
            <w:tcW w:w="5615" w:type="dxa"/>
          </w:tcPr>
          <w:p w14:paraId="41F639E0"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En el ámbito de las ciencias ambientales, hace referencia a cualquier entidad o comunidad biológica que interactúa con su entorno y presenta las características de la vida. Aquí no solo se incluyen los organismos individuales, sino también las poblaciones, las comunidades, los ecosistemas y la biosfera en su conjunto. Algunos ejemplos de sistemas vivos son los ecosistemas, las comunidades microbianas o las redes alimentarias.</w:t>
            </w:r>
          </w:p>
          <w:p w14:paraId="1E171354"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Es fundamental comprender los sistemas vivos para poder desarrollar prácticas y políticas medioambientales sostenibles dirigidas a preservar la biodiversidad y la salud de los ecosistemas.</w:t>
            </w:r>
          </w:p>
          <w:p w14:paraId="764D45E5" w14:textId="77777777" w:rsidR="008C1EAE" w:rsidRPr="008C1EAE" w:rsidRDefault="008C1EAE" w:rsidP="00A655ED">
            <w:pPr>
              <w:jc w:val="both"/>
              <w:rPr>
                <w:rFonts w:ascii="Times New Roman" w:hAnsi="Times New Roman" w:cs="Times New Roman"/>
                <w:lang w:val="es-ES"/>
              </w:rPr>
            </w:pPr>
          </w:p>
          <w:p w14:paraId="0D7F4DDE"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 xml:space="preserve">Características de los sistemas vivos: </w:t>
            </w:r>
          </w:p>
          <w:p w14:paraId="67DAF1DF"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b/>
                <w:lang w:val="es"/>
              </w:rPr>
              <w:t>Interconexión</w:t>
            </w:r>
            <w:r w:rsidRPr="008C1EAE">
              <w:rPr>
                <w:rFonts w:ascii="Times New Roman" w:hAnsi="Times New Roman" w:cs="Times New Roman"/>
                <w:lang w:val="es"/>
              </w:rPr>
              <w:t>: los sistemas vivos se caracterizan por interacciones complejas entre varios componentes, como los organismos (plantas, animales y microorganismos) y su entorno físico (suelo, agua y aire). Estas interacciones pueden afectar al ciclo de los nutrientes, al flujo de energía y a la salud general del ecosistema.</w:t>
            </w:r>
          </w:p>
          <w:p w14:paraId="557DE901"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b/>
                <w:lang w:val="es"/>
              </w:rPr>
              <w:t>Adaptación y evolución</w:t>
            </w:r>
            <w:r w:rsidRPr="008C1EAE">
              <w:rPr>
                <w:rFonts w:ascii="Times New Roman" w:hAnsi="Times New Roman" w:cs="Times New Roman"/>
                <w:lang w:val="es"/>
              </w:rPr>
              <w:t>: los sistemas vivos se adaptan a los cambios ambientales a lo largo del tiempo mediante procesos evolutivos. Esta adaptabilidad es fundamental para poder sobrevivir en climas y ecosistemas cambiantes.</w:t>
            </w:r>
          </w:p>
          <w:p w14:paraId="5A60A1E7"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b/>
                <w:lang w:val="es"/>
              </w:rPr>
              <w:t>Sostenibilidad</w:t>
            </w:r>
            <w:r w:rsidRPr="008C1EAE">
              <w:rPr>
                <w:rFonts w:ascii="Times New Roman" w:hAnsi="Times New Roman" w:cs="Times New Roman"/>
                <w:lang w:val="es"/>
              </w:rPr>
              <w:t>: en las ciencias medioambientales, los sistemas vivos subrayan la sostenibilidad, es decir, la capacidad de mantener el equilibrio ecológico y sustentar la vida a largo plazo. Esto comprende prácticas que fomentan la biodiversidad y la resiliencia frente a los factores de estrés ambiental.</w:t>
            </w:r>
          </w:p>
          <w:p w14:paraId="48301341"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b/>
                <w:lang w:val="es"/>
              </w:rPr>
              <w:lastRenderedPageBreak/>
              <w:t>Servicio de ecosistema</w:t>
            </w:r>
            <w:r w:rsidRPr="008C1EAE">
              <w:rPr>
                <w:rFonts w:ascii="Times New Roman" w:hAnsi="Times New Roman" w:cs="Times New Roman"/>
                <w:lang w:val="es"/>
              </w:rPr>
              <w:t>: los sistemas vivos prestan servicios esenciales como la polinización, la purificación del agua, el secuestro de carbono y la fertilidad del suelo. Es fundamental comprender estos servicios para poder gestionar los recursos naturales y hacer frente a los desafíos medioambientales.</w:t>
            </w:r>
          </w:p>
          <w:p w14:paraId="775F7382"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b/>
                <w:lang w:val="es"/>
              </w:rPr>
              <w:t>Impacto del ser humano</w:t>
            </w:r>
            <w:r w:rsidRPr="008C1EAE">
              <w:rPr>
                <w:rFonts w:ascii="Times New Roman" w:hAnsi="Times New Roman" w:cs="Times New Roman"/>
                <w:lang w:val="es"/>
              </w:rPr>
              <w:t>: las actividades del ser humano repercuten de manera significativa en los sistemas vivos mediante la contaminación, la destrucción de hábitats, el cambio climático y la explotación de recursos. Las ciencias ambientales buscan conocer estos impactos y desarrollar estrategias de mitigación y restauración.</w:t>
            </w:r>
          </w:p>
          <w:p w14:paraId="23DF4CB2" w14:textId="77777777" w:rsidR="008C1EAE" w:rsidRPr="008C1EAE" w:rsidRDefault="008C1EAE" w:rsidP="00A655ED">
            <w:pPr>
              <w:jc w:val="both"/>
              <w:rPr>
                <w:rFonts w:ascii="Times New Roman" w:hAnsi="Times New Roman" w:cs="Times New Roman"/>
                <w:lang w:val="es-ES"/>
              </w:rPr>
            </w:pPr>
          </w:p>
        </w:tc>
        <w:tc>
          <w:tcPr>
            <w:tcW w:w="616" w:type="dxa"/>
          </w:tcPr>
          <w:p w14:paraId="488E15EA"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lastRenderedPageBreak/>
              <w:t>19, 20</w:t>
            </w:r>
          </w:p>
        </w:tc>
      </w:tr>
      <w:tr w:rsidR="008C1EAE" w:rsidRPr="008C1EAE" w14:paraId="31241CE5" w14:textId="77777777" w:rsidTr="2C6C7817">
        <w:tc>
          <w:tcPr>
            <w:tcW w:w="2062" w:type="dxa"/>
          </w:tcPr>
          <w:p w14:paraId="21F06388"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Suelo</w:t>
            </w:r>
          </w:p>
        </w:tc>
        <w:tc>
          <w:tcPr>
            <w:tcW w:w="1469" w:type="dxa"/>
          </w:tcPr>
          <w:p w14:paraId="1E270E0F" w14:textId="77777777" w:rsidR="008C1EAE" w:rsidRPr="008C1EAE" w:rsidRDefault="008C1EAE" w:rsidP="00525540">
            <w:pPr>
              <w:jc w:val="both"/>
              <w:rPr>
                <w:rFonts w:ascii="Times New Roman" w:hAnsi="Times New Roman" w:cs="Times New Roman"/>
                <w:lang w:val="en-GB"/>
              </w:rPr>
            </w:pPr>
          </w:p>
        </w:tc>
        <w:tc>
          <w:tcPr>
            <w:tcW w:w="5615" w:type="dxa"/>
          </w:tcPr>
          <w:p w14:paraId="5B530B06"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El medio poroso y biológicamente activo que se ha desarrollado en la capa superior de la corteza terrestre y que es uno de los principales sustratos de la vida en la Tierra. El suelo es un sistema complejo, dinámico y vivo que se forma a lo largo del tiempo mediante la interacción de procesos físicos, químicos y biológicos. Está compuesto por partículas minerales de diferentes tamaños, materia orgánica, agua y aire. Todos estos interactúan para formar una matriz que favorece el crecimiento de las plantas y que proporciona un hábitat para los organismos del suelo.</w:t>
            </w:r>
          </w:p>
        </w:tc>
        <w:tc>
          <w:tcPr>
            <w:tcW w:w="616" w:type="dxa"/>
          </w:tcPr>
          <w:p w14:paraId="1BDABA27"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2</w:t>
            </w:r>
          </w:p>
        </w:tc>
      </w:tr>
      <w:tr w:rsidR="008C1EAE" w:rsidRPr="008C1EAE" w14:paraId="18B7F5B2" w14:textId="77777777" w:rsidTr="2C6C7817">
        <w:tc>
          <w:tcPr>
            <w:tcW w:w="2062" w:type="dxa"/>
          </w:tcPr>
          <w:p w14:paraId="517555E8" w14:textId="77777777" w:rsidR="008C1EAE" w:rsidRPr="008C1EAE" w:rsidRDefault="008C1EAE" w:rsidP="002A67F8">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Tierra arable</w:t>
            </w:r>
          </w:p>
        </w:tc>
        <w:tc>
          <w:tcPr>
            <w:tcW w:w="1469" w:type="dxa"/>
          </w:tcPr>
          <w:p w14:paraId="1D6D8185" w14:textId="77777777" w:rsidR="008C1EAE" w:rsidRPr="008C1EAE" w:rsidRDefault="008C1EAE" w:rsidP="002A67F8">
            <w:pPr>
              <w:jc w:val="both"/>
              <w:rPr>
                <w:rFonts w:ascii="Times New Roman" w:hAnsi="Times New Roman" w:cs="Times New Roman"/>
                <w:lang w:val="en-GB"/>
              </w:rPr>
            </w:pPr>
          </w:p>
        </w:tc>
        <w:tc>
          <w:tcPr>
            <w:tcW w:w="5615" w:type="dxa"/>
          </w:tcPr>
          <w:p w14:paraId="0D0E95CC"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Se trata de tierras trabajadas (aradas o labradas) con regularidad, generalmente mediante un sistema de rotación de cultivos. La superficie total dedicada a cultivos, praderas y pastos, y disponible para la producción de cultivos, pero que actualmente se ha dejado en barbecho.</w:t>
            </w:r>
          </w:p>
        </w:tc>
        <w:tc>
          <w:tcPr>
            <w:tcW w:w="616" w:type="dxa"/>
          </w:tcPr>
          <w:p w14:paraId="03957BB8"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w:t>
            </w:r>
          </w:p>
        </w:tc>
      </w:tr>
      <w:tr w:rsidR="008C1EAE" w:rsidRPr="008C1EAE" w14:paraId="518D9873" w14:textId="77777777" w:rsidTr="2C6C7817">
        <w:tc>
          <w:tcPr>
            <w:tcW w:w="2062" w:type="dxa"/>
          </w:tcPr>
          <w:p w14:paraId="64597BD0"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Tierra en barbecho</w:t>
            </w:r>
          </w:p>
        </w:tc>
        <w:tc>
          <w:tcPr>
            <w:tcW w:w="1469" w:type="dxa"/>
          </w:tcPr>
          <w:p w14:paraId="57EFC5B5" w14:textId="77777777" w:rsidR="008C1EAE" w:rsidRPr="008C1EAE" w:rsidRDefault="008C1EAE" w:rsidP="002A67F8">
            <w:pPr>
              <w:jc w:val="both"/>
              <w:rPr>
                <w:rFonts w:ascii="Times New Roman" w:hAnsi="Times New Roman" w:cs="Times New Roman"/>
                <w:lang w:val="en-GB"/>
              </w:rPr>
            </w:pPr>
          </w:p>
        </w:tc>
        <w:tc>
          <w:tcPr>
            <w:tcW w:w="5615" w:type="dxa"/>
          </w:tcPr>
          <w:p w14:paraId="2480A738"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Las tierras de cultivo que se dejan libres para restablecer la productividad mediante la acumulación de humedad o materia orgánica. El barbecho de verano es habitual en regiones con escasas precipitaciones donde se cultivan granos de cereales. El suelo se labra durante al menos una temporada de cultivo para controlar las malas hierbas y favorecer la descomposición de los residuos vegetales.</w:t>
            </w:r>
          </w:p>
        </w:tc>
        <w:tc>
          <w:tcPr>
            <w:tcW w:w="616" w:type="dxa"/>
          </w:tcPr>
          <w:p w14:paraId="769BC97C"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2F4553DF" w14:textId="77777777" w:rsidTr="2C6C7817">
        <w:tc>
          <w:tcPr>
            <w:tcW w:w="2062" w:type="dxa"/>
          </w:tcPr>
          <w:p w14:paraId="401E5E1A" w14:textId="77777777" w:rsidR="008C1EAE" w:rsidRPr="008C1EAE" w:rsidRDefault="008C1EAE" w:rsidP="00A655ED">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Tipo de suelo</w:t>
            </w:r>
          </w:p>
        </w:tc>
        <w:tc>
          <w:tcPr>
            <w:tcW w:w="1469" w:type="dxa"/>
          </w:tcPr>
          <w:p w14:paraId="680CDB9E" w14:textId="77777777" w:rsidR="008C1EAE" w:rsidRPr="008C1EAE" w:rsidRDefault="008C1EAE" w:rsidP="00A655ED">
            <w:pPr>
              <w:jc w:val="both"/>
              <w:rPr>
                <w:rFonts w:ascii="Times New Roman" w:hAnsi="Times New Roman" w:cs="Times New Roman"/>
                <w:lang w:val="en-GB"/>
              </w:rPr>
            </w:pPr>
          </w:p>
        </w:tc>
        <w:tc>
          <w:tcPr>
            <w:tcW w:w="5615" w:type="dxa"/>
          </w:tcPr>
          <w:p w14:paraId="505223E0"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El tipo de suelo es una unidad conceptual y muy generalizada que se utiliza en la ciencia del suelo en muchos sistemas de clasificación de suelos. Este se define sobre todo en función de las características resultantes de los procesos de formación del suelo (pedogénesis). Los suelos que tienen una determinada secuencia de horizontes genéticos y unas propiedades determinadas forman un tipo de suelo específico.</w:t>
            </w:r>
          </w:p>
        </w:tc>
        <w:tc>
          <w:tcPr>
            <w:tcW w:w="616" w:type="dxa"/>
          </w:tcPr>
          <w:p w14:paraId="7A371C4B"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16</w:t>
            </w:r>
          </w:p>
        </w:tc>
      </w:tr>
      <w:tr w:rsidR="008C1EAE" w:rsidRPr="008C1EAE" w14:paraId="0CCE9ACA" w14:textId="77777777" w:rsidTr="2C6C7817">
        <w:tc>
          <w:tcPr>
            <w:tcW w:w="2062" w:type="dxa"/>
          </w:tcPr>
          <w:p w14:paraId="11AF57C6" w14:textId="77777777" w:rsidR="008C1EAE" w:rsidRPr="008C1EAE" w:rsidRDefault="008C1EAE" w:rsidP="002A67F8">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Tráfico controlado</w:t>
            </w:r>
          </w:p>
        </w:tc>
        <w:tc>
          <w:tcPr>
            <w:tcW w:w="1469" w:type="dxa"/>
          </w:tcPr>
          <w:p w14:paraId="0EC6FE88" w14:textId="77777777" w:rsidR="008C1EAE" w:rsidRPr="008C1EAE" w:rsidRDefault="008C1EAE" w:rsidP="002A67F8">
            <w:pPr>
              <w:jc w:val="both"/>
              <w:rPr>
                <w:rFonts w:ascii="Times New Roman" w:hAnsi="Times New Roman" w:cs="Times New Roman"/>
                <w:lang w:val="en-GB"/>
              </w:rPr>
            </w:pPr>
          </w:p>
        </w:tc>
        <w:tc>
          <w:tcPr>
            <w:tcW w:w="5615" w:type="dxa"/>
          </w:tcPr>
          <w:p w14:paraId="031F5258" w14:textId="77777777" w:rsidR="008C1EAE" w:rsidRPr="008C1EAE" w:rsidRDefault="008C1EAE" w:rsidP="002A67F8">
            <w:pPr>
              <w:jc w:val="both"/>
              <w:rPr>
                <w:rFonts w:ascii="Times New Roman" w:hAnsi="Times New Roman" w:cs="Times New Roman"/>
                <w:lang w:val="es-ES"/>
              </w:rPr>
            </w:pPr>
            <w:r w:rsidRPr="008C1EAE">
              <w:rPr>
                <w:rFonts w:ascii="Times New Roman" w:hAnsi="Times New Roman" w:cs="Times New Roman"/>
                <w:lang w:val="es"/>
              </w:rPr>
              <w:t>El uso de las mismas vías de circulación de maquinaria para diferentes aplicaciones en un mismo año y de las mismas vías de circulación a lo largo de los años, normalmente con el apoyo de un sistema de navegación por satélite, con el objetivo de reducir la compactación del suelo.</w:t>
            </w:r>
          </w:p>
        </w:tc>
        <w:tc>
          <w:tcPr>
            <w:tcW w:w="616" w:type="dxa"/>
          </w:tcPr>
          <w:p w14:paraId="63A6B084"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w:t>
            </w:r>
          </w:p>
        </w:tc>
      </w:tr>
      <w:tr w:rsidR="008C1EAE" w:rsidRPr="008C1EAE" w14:paraId="7175A524" w14:textId="77777777" w:rsidTr="2C6C7817">
        <w:tc>
          <w:tcPr>
            <w:tcW w:w="2062" w:type="dxa"/>
          </w:tcPr>
          <w:p w14:paraId="6D14F1E6" w14:textId="77777777" w:rsidR="008C1EAE" w:rsidRPr="008C1EAE" w:rsidRDefault="008C1EAE" w:rsidP="00A655ED">
            <w:pPr>
              <w:rPr>
                <w:rFonts w:ascii="Times New Roman" w:hAnsi="Times New Roman" w:cs="Times New Roman"/>
                <w:b/>
                <w:color w:val="3A7C22" w:themeColor="accent6" w:themeShade="BF"/>
                <w:lang w:val="en-GB"/>
              </w:rPr>
            </w:pPr>
            <w:r w:rsidRPr="008C1EAE">
              <w:rPr>
                <w:rFonts w:ascii="Times New Roman" w:hAnsi="Times New Roman" w:cs="Times New Roman"/>
                <w:b/>
                <w:color w:val="3A7C22" w:themeColor="accent6" w:themeShade="BF"/>
                <w:lang w:val="es"/>
              </w:rPr>
              <w:t>Transdisciplinariedad</w:t>
            </w:r>
          </w:p>
        </w:tc>
        <w:tc>
          <w:tcPr>
            <w:tcW w:w="1469" w:type="dxa"/>
          </w:tcPr>
          <w:p w14:paraId="5790FF70" w14:textId="77777777" w:rsidR="008C1EAE" w:rsidRPr="008C1EAE" w:rsidRDefault="008C1EAE" w:rsidP="00A655ED">
            <w:pPr>
              <w:jc w:val="both"/>
              <w:rPr>
                <w:rFonts w:ascii="Times New Roman" w:hAnsi="Times New Roman" w:cs="Times New Roman"/>
                <w:color w:val="3A7C22" w:themeColor="accent6" w:themeShade="BF"/>
                <w:lang w:val="en-GB"/>
              </w:rPr>
            </w:pPr>
          </w:p>
        </w:tc>
        <w:tc>
          <w:tcPr>
            <w:tcW w:w="5615" w:type="dxa"/>
          </w:tcPr>
          <w:p w14:paraId="70A44154"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Integra conocimientos de varias disciplinas y fuentes no académicas para abordar problemas complejos, centrándose en la colaboración entre los distintos campos. Enfoque de investigación que integra conocimientos de distintas disciplinas académicas y que involucra la colaboración con agentes no académicos para abordar desafíos sociales complejos.</w:t>
            </w:r>
            <w:r w:rsidRPr="008C1EAE">
              <w:rPr>
                <w:lang w:val="es"/>
              </w:rPr>
              <w:t xml:space="preserve"> </w:t>
            </w:r>
            <w:r w:rsidRPr="008C1EAE">
              <w:rPr>
                <w:rFonts w:ascii="Times New Roman" w:hAnsi="Times New Roman" w:cs="Times New Roman"/>
                <w:lang w:val="es"/>
              </w:rPr>
              <w:t xml:space="preserve">Enfatiza la interconexión de varios campos y tiene como objetivo crear soluciones holísticas combinando múltiples perspectivas y conocimientos de diferentes </w:t>
            </w:r>
            <w:r w:rsidRPr="008C1EAE">
              <w:rPr>
                <w:rFonts w:ascii="Times New Roman" w:hAnsi="Times New Roman" w:cs="Times New Roman"/>
                <w:lang w:val="es"/>
              </w:rPr>
              <w:lastRenderedPageBreak/>
              <w:t>disciplinas. El nivel de integración es alto, y las disciplinas y los agentes trabajan juntos.</w:t>
            </w:r>
          </w:p>
        </w:tc>
        <w:tc>
          <w:tcPr>
            <w:tcW w:w="616" w:type="dxa"/>
          </w:tcPr>
          <w:p w14:paraId="686B24F4"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lastRenderedPageBreak/>
              <w:t>31, 36</w:t>
            </w:r>
          </w:p>
        </w:tc>
      </w:tr>
      <w:tr w:rsidR="008C1EAE" w:rsidRPr="008C1EAE" w14:paraId="140C5C2A" w14:textId="77777777" w:rsidTr="2C6C7817">
        <w:tc>
          <w:tcPr>
            <w:tcW w:w="2062" w:type="dxa"/>
          </w:tcPr>
          <w:p w14:paraId="494D43A0" w14:textId="77777777" w:rsidR="008C1EAE" w:rsidRPr="008C1EAE" w:rsidRDefault="008C1EAE" w:rsidP="00A655ED">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Trazadores ambientales</w:t>
            </w:r>
          </w:p>
        </w:tc>
        <w:tc>
          <w:tcPr>
            <w:tcW w:w="1469" w:type="dxa"/>
          </w:tcPr>
          <w:p w14:paraId="34281A2E" w14:textId="77777777" w:rsidR="008C1EAE" w:rsidRPr="008C1EAE" w:rsidRDefault="008C1EAE" w:rsidP="00A655ED">
            <w:pPr>
              <w:jc w:val="both"/>
              <w:rPr>
                <w:rFonts w:ascii="Times New Roman" w:hAnsi="Times New Roman" w:cs="Times New Roman"/>
                <w:lang w:val="en-GB"/>
              </w:rPr>
            </w:pPr>
          </w:p>
        </w:tc>
        <w:tc>
          <w:tcPr>
            <w:tcW w:w="5615" w:type="dxa"/>
          </w:tcPr>
          <w:p w14:paraId="01813460" w14:textId="4786E3A5"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Las sustancias utilizadas para rastrear del movimiento del agua, los contaminantes u otras sustancias en el medioambiente. Los isótopos estables y los gases nobles se utilizan comúnmente como trazadores para estudiar procesos como el flujo de aguas freáticas, el transporte de contaminantes y los ciclos biogeoquímicos.</w:t>
            </w:r>
          </w:p>
          <w:p w14:paraId="54C2FC4C" w14:textId="77777777" w:rsidR="008C1EAE" w:rsidRPr="008C1EAE" w:rsidRDefault="008C1EAE" w:rsidP="00A655ED">
            <w:pPr>
              <w:jc w:val="both"/>
              <w:rPr>
                <w:rFonts w:ascii="Times New Roman" w:hAnsi="Times New Roman" w:cs="Times New Roman"/>
                <w:lang w:val="es-ES"/>
              </w:rPr>
            </w:pPr>
          </w:p>
        </w:tc>
        <w:tc>
          <w:tcPr>
            <w:tcW w:w="616" w:type="dxa"/>
          </w:tcPr>
          <w:p w14:paraId="5755DD01"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35</w:t>
            </w:r>
          </w:p>
        </w:tc>
      </w:tr>
      <w:tr w:rsidR="008C1EAE" w:rsidRPr="008C1EAE" w14:paraId="3096DB21" w14:textId="77777777" w:rsidTr="2C6C7817">
        <w:tc>
          <w:tcPr>
            <w:tcW w:w="2062" w:type="dxa"/>
          </w:tcPr>
          <w:p w14:paraId="393860D8" w14:textId="77777777" w:rsidR="008C1EAE" w:rsidRPr="008C1EAE" w:rsidRDefault="008C1EAE" w:rsidP="00A655ED">
            <w:pPr>
              <w:rPr>
                <w:rFonts w:ascii="Times New Roman" w:hAnsi="Times New Roman" w:cs="Times New Roman"/>
                <w:b/>
                <w:color w:val="D86DCB" w:themeColor="accent5" w:themeTint="99"/>
                <w:lang w:val="en-GB"/>
              </w:rPr>
            </w:pPr>
            <w:r w:rsidRPr="008C1EAE">
              <w:rPr>
                <w:rFonts w:ascii="Times New Roman" w:hAnsi="Times New Roman" w:cs="Times New Roman"/>
                <w:b/>
                <w:color w:val="3A7C22" w:themeColor="accent6" w:themeShade="BF"/>
                <w:lang w:val="es"/>
              </w:rPr>
              <w:t>Valor</w:t>
            </w:r>
          </w:p>
        </w:tc>
        <w:tc>
          <w:tcPr>
            <w:tcW w:w="1469" w:type="dxa"/>
          </w:tcPr>
          <w:p w14:paraId="42E8110A" w14:textId="77777777" w:rsidR="008C1EAE" w:rsidRPr="008C1EAE" w:rsidRDefault="008C1EAE" w:rsidP="00A655ED">
            <w:pPr>
              <w:jc w:val="both"/>
              <w:rPr>
                <w:rFonts w:ascii="Times New Roman" w:hAnsi="Times New Roman" w:cs="Times New Roman"/>
                <w:lang w:val="en-GB"/>
              </w:rPr>
            </w:pPr>
          </w:p>
        </w:tc>
        <w:tc>
          <w:tcPr>
            <w:tcW w:w="5615" w:type="dxa"/>
          </w:tcPr>
          <w:p w14:paraId="5BE28CEA"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lang w:val="es"/>
              </w:rPr>
              <w:t>En el ámbito de las ciencias ambientales, el valor alude a la importancia o trascendencia que se atribuye a los recursos naturales, los ecosistemas y la biodiversidad. Esto puede englobar varias dimensiones, incluidos los valores ecológicos, económicos, sociales e intrínsecos.</w:t>
            </w:r>
          </w:p>
          <w:p w14:paraId="1D44D682"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b/>
                <w:lang w:val="es"/>
              </w:rPr>
              <w:t>Valor ecológico</w:t>
            </w:r>
            <w:r w:rsidRPr="008C1EAE">
              <w:rPr>
                <w:rFonts w:ascii="Times New Roman" w:hAnsi="Times New Roman" w:cs="Times New Roman"/>
                <w:lang w:val="es"/>
              </w:rPr>
              <w:t>: se refiere al papel que juegan los ecosistemas a la hora de mantener la biodiversidad y sustentar los procesos de vida. Por ejemplo, las aguas continentales de la Antártida están reconocidas por su biodiversidad y producción biológica únicas, que son fundamentales para mantener especies que podrían ser endémicas de las regiones polares.</w:t>
            </w:r>
          </w:p>
          <w:p w14:paraId="74E60979"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b/>
                <w:lang w:val="es"/>
              </w:rPr>
              <w:t>Valor económico</w:t>
            </w:r>
            <w:r w:rsidRPr="008C1EAE">
              <w:rPr>
                <w:rFonts w:ascii="Times New Roman" w:hAnsi="Times New Roman" w:cs="Times New Roman"/>
                <w:lang w:val="es"/>
              </w:rPr>
              <w:t>: se incluyen aquí los beneficios tangibles derivados de los recursos naturales, como la madera, los minerales y los servicios de ecosistemas como el agua y el aire limpios. El valor económico se evalúa generalmente mediante enfoques basados en el mercado o análisis coste-beneficio que cuantifican los beneficios financieros de la conservación de los hábitats naturales.</w:t>
            </w:r>
          </w:p>
          <w:p w14:paraId="38065567"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b/>
                <w:lang w:val="es"/>
              </w:rPr>
              <w:t>Valor social</w:t>
            </w:r>
            <w:r w:rsidRPr="008C1EAE">
              <w:rPr>
                <w:rFonts w:ascii="Times New Roman" w:hAnsi="Times New Roman" w:cs="Times New Roman"/>
                <w:lang w:val="es"/>
              </w:rPr>
              <w:t>: refleja la importancia cultural y recreativa que tienen las áreas naturales para las comunidades. Incluye aspectos como la apreciación estética, las conexiones espirituales con la naturaleza y las oportunidades recreativas que ofrecen los ecosistemas.</w:t>
            </w:r>
          </w:p>
          <w:p w14:paraId="6607205D" w14:textId="77777777" w:rsidR="008C1EAE" w:rsidRPr="008C1EAE" w:rsidRDefault="008C1EAE" w:rsidP="00A655ED">
            <w:pPr>
              <w:jc w:val="both"/>
              <w:rPr>
                <w:rFonts w:ascii="Times New Roman" w:hAnsi="Times New Roman" w:cs="Times New Roman"/>
                <w:lang w:val="es-ES"/>
              </w:rPr>
            </w:pPr>
            <w:r w:rsidRPr="008C1EAE">
              <w:rPr>
                <w:rFonts w:ascii="Times New Roman" w:hAnsi="Times New Roman" w:cs="Times New Roman"/>
                <w:b/>
                <w:lang w:val="es"/>
              </w:rPr>
              <w:t>Valor intrínseco</w:t>
            </w:r>
            <w:r w:rsidRPr="008C1EAE">
              <w:rPr>
                <w:rFonts w:ascii="Times New Roman" w:hAnsi="Times New Roman" w:cs="Times New Roman"/>
                <w:lang w:val="es"/>
              </w:rPr>
              <w:t>: este concepto sugiere que la naturaleza tiene valor en sí misma, independientemente de su utilidad para el ser humano. Defiende la protección de los ecosistemas por su valor inherente.</w:t>
            </w:r>
          </w:p>
        </w:tc>
        <w:tc>
          <w:tcPr>
            <w:tcW w:w="616" w:type="dxa"/>
          </w:tcPr>
          <w:p w14:paraId="3A7188B8" w14:textId="77777777" w:rsidR="008C1EAE" w:rsidRPr="008C1EAE" w:rsidRDefault="008C1EAE" w:rsidP="00A655ED">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21,22</w:t>
            </w:r>
          </w:p>
        </w:tc>
      </w:tr>
      <w:tr w:rsidR="008C1EAE" w:rsidRPr="008C1EAE" w14:paraId="1FCC5E67" w14:textId="77777777" w:rsidTr="2C6C7817">
        <w:tc>
          <w:tcPr>
            <w:tcW w:w="2062" w:type="dxa"/>
          </w:tcPr>
          <w:p w14:paraId="26614420" w14:textId="77777777" w:rsidR="008C1EAE" w:rsidRPr="008C1EAE" w:rsidRDefault="008C1EAE" w:rsidP="002A67F8">
            <w:pPr>
              <w:rPr>
                <w:rFonts w:ascii="Times New Roman" w:hAnsi="Times New Roman" w:cs="Times New Roman"/>
                <w:b/>
                <w:color w:val="D86DCB" w:themeColor="accent5" w:themeTint="99"/>
                <w:lang w:val="es-ES"/>
              </w:rPr>
            </w:pPr>
            <w:r w:rsidRPr="008C1EAE">
              <w:rPr>
                <w:rFonts w:ascii="Times New Roman" w:hAnsi="Times New Roman" w:cs="Times New Roman"/>
                <w:b/>
                <w:color w:val="3A7C22" w:themeColor="accent6" w:themeShade="BF"/>
                <w:lang w:val="es"/>
              </w:rPr>
              <w:t>Valor de reposición del fertilizante</w:t>
            </w:r>
          </w:p>
        </w:tc>
        <w:tc>
          <w:tcPr>
            <w:tcW w:w="1469" w:type="dxa"/>
          </w:tcPr>
          <w:p w14:paraId="7C7F4FDF" w14:textId="77777777" w:rsidR="008C1EAE" w:rsidRPr="008C1EAE" w:rsidRDefault="008C1EAE" w:rsidP="00525540">
            <w:pPr>
              <w:jc w:val="both"/>
              <w:rPr>
                <w:rFonts w:ascii="Times New Roman" w:hAnsi="Times New Roman" w:cs="Times New Roman"/>
                <w:lang w:val="es-ES"/>
              </w:rPr>
            </w:pPr>
          </w:p>
        </w:tc>
        <w:tc>
          <w:tcPr>
            <w:tcW w:w="5615" w:type="dxa"/>
          </w:tcPr>
          <w:p w14:paraId="3B280C75"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Expresado en kg/100kg cuantifica la cantidad de nutrientes (por ejemplo, nitrógeno, fósforo o potasio) aportados por 100 kilogramos de una fuente de nutrientes orgánicos (como el estiércol, el compost o los residuos de cultivos) que es equivalente a la cantidad de nutrientes aportados por los fertilizantes minerales.</w:t>
            </w:r>
            <w:r w:rsidRPr="008C1EAE">
              <w:rPr>
                <w:lang w:val="es"/>
              </w:rPr>
              <w:t xml:space="preserve"> Por ejemplo, </w:t>
            </w:r>
            <w:r w:rsidRPr="008C1EAE">
              <w:rPr>
                <w:rFonts w:ascii="Times New Roman" w:hAnsi="Times New Roman" w:cs="Times New Roman"/>
                <w:lang w:val="es"/>
              </w:rPr>
              <w:t>si 100 kg de estiércol tienen un VRF de 3 kg de fósforo (P), aportan la misma cantidad de fósforo disponible que 3 kg de un fertilizante mineral de fósforo.</w:t>
            </w:r>
          </w:p>
          <w:p w14:paraId="0A72B475" w14:textId="77777777" w:rsidR="008C1EAE" w:rsidRPr="008C1EAE" w:rsidRDefault="008C1EAE" w:rsidP="00525540">
            <w:pPr>
              <w:jc w:val="both"/>
              <w:rPr>
                <w:rFonts w:ascii="Times New Roman" w:hAnsi="Times New Roman" w:cs="Times New Roman"/>
                <w:lang w:val="es-ES"/>
              </w:rPr>
            </w:pPr>
            <w:r w:rsidRPr="008C1EAE">
              <w:rPr>
                <w:rFonts w:ascii="Times New Roman" w:hAnsi="Times New Roman" w:cs="Times New Roman"/>
                <w:lang w:val="es"/>
              </w:rPr>
              <w:t xml:space="preserve">Esta métrica ayuda a los agricultores a comparar la aportación de nutrientes de los materiales orgánicos con la de los fertilizantes sintéticos y tomar así decisiones informadas sobre la gestión de nutrientes. </w:t>
            </w:r>
          </w:p>
        </w:tc>
        <w:tc>
          <w:tcPr>
            <w:tcW w:w="616" w:type="dxa"/>
          </w:tcPr>
          <w:p w14:paraId="6D8198B6" w14:textId="77777777" w:rsidR="008C1EAE" w:rsidRPr="008C1EAE" w:rsidRDefault="008C1EAE" w:rsidP="002A67F8">
            <w:pPr>
              <w:rPr>
                <w:rFonts w:ascii="Times New Roman" w:hAnsi="Times New Roman" w:cs="Times New Roman"/>
                <w:color w:val="663300"/>
                <w:sz w:val="16"/>
                <w:szCs w:val="16"/>
                <w:lang w:val="en-GB"/>
              </w:rPr>
            </w:pPr>
            <w:r w:rsidRPr="008C1EAE">
              <w:rPr>
                <w:rFonts w:ascii="Times New Roman" w:hAnsi="Times New Roman" w:cs="Times New Roman"/>
                <w:color w:val="663300"/>
                <w:sz w:val="16"/>
                <w:szCs w:val="16"/>
                <w:lang w:val="es"/>
              </w:rPr>
              <w:t>4, 42</w:t>
            </w:r>
          </w:p>
        </w:tc>
      </w:tr>
      <w:tr w:rsidR="00A655ED" w:rsidRPr="008C1EAE" w14:paraId="78697CF3" w14:textId="77777777" w:rsidTr="2C6C7817">
        <w:tc>
          <w:tcPr>
            <w:tcW w:w="2062" w:type="dxa"/>
          </w:tcPr>
          <w:p w14:paraId="1E6E5ADB" w14:textId="77777777" w:rsidR="00A655ED" w:rsidRPr="008C1EAE" w:rsidRDefault="00A655ED" w:rsidP="00A655ED">
            <w:pPr>
              <w:rPr>
                <w:rFonts w:ascii="Times New Roman" w:hAnsi="Times New Roman" w:cs="Times New Roman"/>
                <w:b/>
                <w:color w:val="D86DCB" w:themeColor="accent5" w:themeTint="99"/>
                <w:lang w:val="en-GB"/>
              </w:rPr>
            </w:pPr>
          </w:p>
        </w:tc>
        <w:tc>
          <w:tcPr>
            <w:tcW w:w="1469" w:type="dxa"/>
          </w:tcPr>
          <w:p w14:paraId="0AA056E2" w14:textId="77777777" w:rsidR="00A655ED" w:rsidRPr="008C1EAE" w:rsidRDefault="00A655ED" w:rsidP="00A655ED">
            <w:pPr>
              <w:jc w:val="both"/>
              <w:rPr>
                <w:rFonts w:ascii="Times New Roman" w:hAnsi="Times New Roman" w:cs="Times New Roman"/>
                <w:lang w:val="en-GB"/>
              </w:rPr>
            </w:pPr>
          </w:p>
        </w:tc>
        <w:tc>
          <w:tcPr>
            <w:tcW w:w="5615" w:type="dxa"/>
          </w:tcPr>
          <w:p w14:paraId="4431CEFA" w14:textId="77777777" w:rsidR="00A655ED" w:rsidRPr="008C1EAE" w:rsidRDefault="00A655ED" w:rsidP="00A655ED">
            <w:pPr>
              <w:jc w:val="both"/>
              <w:rPr>
                <w:rFonts w:ascii="Times New Roman" w:hAnsi="Times New Roman" w:cs="Times New Roman"/>
                <w:lang w:val="en-GB"/>
              </w:rPr>
            </w:pPr>
          </w:p>
        </w:tc>
        <w:tc>
          <w:tcPr>
            <w:tcW w:w="616" w:type="dxa"/>
          </w:tcPr>
          <w:p w14:paraId="45DE3379" w14:textId="77777777" w:rsidR="00A655ED" w:rsidRPr="008C1EAE" w:rsidRDefault="00A655ED" w:rsidP="00A655ED">
            <w:pPr>
              <w:rPr>
                <w:rFonts w:ascii="Times New Roman" w:hAnsi="Times New Roman" w:cs="Times New Roman"/>
                <w:color w:val="663300"/>
                <w:sz w:val="16"/>
                <w:szCs w:val="16"/>
                <w:lang w:val="en-GB"/>
              </w:rPr>
            </w:pPr>
          </w:p>
        </w:tc>
      </w:tr>
    </w:tbl>
    <w:p w14:paraId="7B4FB9C5" w14:textId="77777777" w:rsidR="00AD6E49" w:rsidRPr="008C1EAE" w:rsidRDefault="00AD6E49" w:rsidP="00AD6E49">
      <w:pPr>
        <w:pStyle w:val="Prrafodelista"/>
        <w:spacing w:after="0"/>
        <w:ind w:left="0"/>
        <w:rPr>
          <w:rFonts w:ascii="Arial" w:hAnsi="Arial" w:cs="Arial"/>
          <w:b/>
          <w:color w:val="3A7C22" w:themeColor="accent6" w:themeShade="BF"/>
          <w:sz w:val="24"/>
          <w:szCs w:val="24"/>
          <w:lang w:val="en-GB"/>
        </w:rPr>
      </w:pPr>
    </w:p>
    <w:p w14:paraId="3C96A377" w14:textId="3F0B9E55" w:rsidR="00AD6E49" w:rsidRPr="008C1EAE" w:rsidRDefault="00AD6E49" w:rsidP="00AD6E49">
      <w:pPr>
        <w:pStyle w:val="Prrafodelista"/>
        <w:spacing w:after="0"/>
        <w:ind w:left="0"/>
        <w:rPr>
          <w:rFonts w:ascii="Times New Roman" w:hAnsi="Times New Roman" w:cs="Times New Roman"/>
          <w:b/>
          <w:color w:val="3A7C22" w:themeColor="accent6" w:themeShade="BF"/>
          <w:sz w:val="24"/>
          <w:szCs w:val="24"/>
          <w:lang w:val="en-GB"/>
        </w:rPr>
      </w:pPr>
      <w:r w:rsidRPr="008C1EAE">
        <w:rPr>
          <w:rFonts w:ascii="Times New Roman" w:hAnsi="Times New Roman" w:cs="Times New Roman"/>
          <w:b/>
          <w:color w:val="3A7C22" w:themeColor="accent6" w:themeShade="BF"/>
          <w:sz w:val="24"/>
          <w:szCs w:val="24"/>
          <w:lang w:val="es"/>
        </w:rPr>
        <w:t>Referencias:</w:t>
      </w:r>
    </w:p>
    <w:p w14:paraId="7A09F175" w14:textId="77777777" w:rsidR="00AD6E49" w:rsidRPr="008C1EAE" w:rsidRDefault="00AD6E49" w:rsidP="00AD6E49">
      <w:pPr>
        <w:pStyle w:val="Prrafodelista"/>
        <w:spacing w:after="0"/>
        <w:ind w:left="0"/>
        <w:rPr>
          <w:rFonts w:ascii="Times New Roman" w:hAnsi="Times New Roman" w:cs="Times New Roman"/>
          <w:b/>
          <w:color w:val="3A7C22" w:themeColor="accent6" w:themeShade="BF"/>
          <w:lang w:val="en-GB"/>
        </w:rPr>
      </w:pPr>
    </w:p>
    <w:p w14:paraId="6A80FE8D" w14:textId="2F885DAC" w:rsidR="00AD6E49" w:rsidRPr="008C1EAE" w:rsidRDefault="00AD6E49" w:rsidP="003B4948">
      <w:pPr>
        <w:pStyle w:val="Prrafodelista"/>
        <w:numPr>
          <w:ilvl w:val="0"/>
          <w:numId w:val="1"/>
        </w:numPr>
        <w:ind w:left="426" w:hanging="426"/>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lastRenderedPageBreak/>
        <w:t xml:space="preserve">The Nature-Based Solutions for Soil Management – NBSOIL EU Project, Glossary </w:t>
      </w:r>
      <w:r w:rsidR="0000609E" w:rsidRPr="008C1EAE">
        <w:rPr>
          <w:rFonts w:ascii="Times New Roman" w:hAnsi="Times New Roman" w:cs="Times New Roman"/>
          <w:color w:val="000000" w:themeColor="text1"/>
          <w:lang w:val="en-GB"/>
        </w:rPr>
        <w:t>available</w:t>
      </w:r>
      <w:r w:rsidRPr="008C1EAE">
        <w:rPr>
          <w:rFonts w:ascii="Times New Roman" w:hAnsi="Times New Roman" w:cs="Times New Roman"/>
          <w:color w:val="000000" w:themeColor="text1"/>
          <w:lang w:val="en-GB"/>
        </w:rPr>
        <w:t xml:space="preserve"> at: </w:t>
      </w:r>
      <w:hyperlink r:id="rId17" w:history="1">
        <w:r w:rsidRPr="008C1EAE">
          <w:rPr>
            <w:rStyle w:val="Hipervnculo"/>
            <w:rFonts w:ascii="Times New Roman" w:hAnsi="Times New Roman" w:cs="Times New Roman"/>
            <w:color w:val="000000" w:themeColor="text1"/>
            <w:lang w:val="en-GB"/>
          </w:rPr>
          <w:t>https://nbsoil.eu/glossary/</w:t>
        </w:r>
      </w:hyperlink>
    </w:p>
    <w:p w14:paraId="71B25A89" w14:textId="0BECBFDB" w:rsidR="00AD6E49" w:rsidRPr="008C1EAE" w:rsidRDefault="00AD6E49" w:rsidP="003B4948">
      <w:pPr>
        <w:pStyle w:val="Prrafodelista"/>
        <w:numPr>
          <w:ilvl w:val="0"/>
          <w:numId w:val="1"/>
        </w:numPr>
        <w:ind w:left="426" w:hanging="426"/>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Soil Health Be</w:t>
      </w:r>
      <w:r w:rsidR="492994D7" w:rsidRPr="008C1EAE">
        <w:rPr>
          <w:rFonts w:ascii="Times New Roman" w:hAnsi="Times New Roman" w:cs="Times New Roman"/>
          <w:color w:val="000000" w:themeColor="text1"/>
          <w:lang w:val="en-GB"/>
        </w:rPr>
        <w:t>n</w:t>
      </w:r>
      <w:r w:rsidRPr="008C1EAE">
        <w:rPr>
          <w:rFonts w:ascii="Times New Roman" w:hAnsi="Times New Roman" w:cs="Times New Roman"/>
          <w:color w:val="000000" w:themeColor="text1"/>
          <w:lang w:val="en-GB"/>
        </w:rPr>
        <w:t xml:space="preserve">chmarks, EU Project 2022, Glossary available at: </w:t>
      </w:r>
      <w:hyperlink r:id="rId18">
        <w:r w:rsidRPr="008C1EAE">
          <w:rPr>
            <w:rStyle w:val="Hipervnculo"/>
            <w:rFonts w:ascii="Times New Roman" w:hAnsi="Times New Roman" w:cs="Times New Roman"/>
            <w:color w:val="000000" w:themeColor="text1"/>
            <w:lang w:val="en-GB"/>
          </w:rPr>
          <w:t>https://soilhealthbenchmarks.eu/glossary/</w:t>
        </w:r>
      </w:hyperlink>
    </w:p>
    <w:p w14:paraId="62482883" w14:textId="074906C9" w:rsidR="00AD6E49" w:rsidRPr="008C1EAE" w:rsidRDefault="00AD6E49" w:rsidP="003B4948">
      <w:pPr>
        <w:pStyle w:val="Prrafodelista"/>
        <w:numPr>
          <w:ilvl w:val="0"/>
          <w:numId w:val="1"/>
        </w:numPr>
        <w:ind w:left="426" w:hanging="426"/>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SoilCare Project (2023) Glossary. Available at: </w:t>
      </w:r>
      <w:hyperlink r:id="rId19" w:history="1">
        <w:r w:rsidRPr="008C1EAE">
          <w:rPr>
            <w:rStyle w:val="Hipervnculo"/>
            <w:rFonts w:ascii="Times New Roman" w:hAnsi="Times New Roman" w:cs="Times New Roman"/>
            <w:color w:val="000000" w:themeColor="text1"/>
            <w:lang w:val="en-GB"/>
          </w:rPr>
          <w:t>https://www.soilcare-project.eu/resources/glossary</w:t>
        </w:r>
      </w:hyperlink>
      <w:r w:rsidRPr="008C1EAE">
        <w:rPr>
          <w:rFonts w:ascii="Times New Roman" w:hAnsi="Times New Roman" w:cs="Times New Roman"/>
          <w:color w:val="000000" w:themeColor="text1"/>
          <w:lang w:val="en-GB"/>
        </w:rPr>
        <w:t xml:space="preserve"> (Accessed: 28 August 2024).</w:t>
      </w:r>
    </w:p>
    <w:p w14:paraId="0547156A" w14:textId="1488E471" w:rsidR="002834EC" w:rsidRPr="008C1EAE" w:rsidRDefault="002834EC" w:rsidP="003B4948">
      <w:pPr>
        <w:pStyle w:val="Prrafodelista"/>
        <w:numPr>
          <w:ilvl w:val="0"/>
          <w:numId w:val="1"/>
        </w:numPr>
        <w:ind w:left="426" w:hanging="426"/>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Landmark, EU Proje</w:t>
      </w:r>
      <w:r w:rsidR="00582A39" w:rsidRPr="008C1EAE">
        <w:rPr>
          <w:rFonts w:ascii="Times New Roman" w:hAnsi="Times New Roman" w:cs="Times New Roman"/>
          <w:color w:val="000000" w:themeColor="text1"/>
          <w:lang w:val="en-GB"/>
        </w:rPr>
        <w:t>c</w:t>
      </w:r>
      <w:r w:rsidRPr="008C1EAE">
        <w:rPr>
          <w:rFonts w:ascii="Times New Roman" w:hAnsi="Times New Roman" w:cs="Times New Roman"/>
          <w:color w:val="000000" w:themeColor="text1"/>
          <w:lang w:val="en-GB"/>
        </w:rPr>
        <w:t xml:space="preserve">t 2015, Glossary available at </w:t>
      </w:r>
      <w:hyperlink r:id="rId20" w:history="1">
        <w:r w:rsidRPr="008C1EAE">
          <w:rPr>
            <w:rStyle w:val="Hipervnculo"/>
            <w:rFonts w:ascii="Times New Roman" w:hAnsi="Times New Roman" w:cs="Times New Roman"/>
            <w:color w:val="000000" w:themeColor="text1"/>
            <w:lang w:val="en-GB"/>
          </w:rPr>
          <w:t>https://landmarkproject.eu/landmark-glossary/#</w:t>
        </w:r>
      </w:hyperlink>
      <w:r w:rsidRPr="008C1EAE">
        <w:rPr>
          <w:rFonts w:ascii="Times New Roman" w:hAnsi="Times New Roman" w:cs="Times New Roman"/>
          <w:color w:val="000000" w:themeColor="text1"/>
          <w:lang w:val="en-GB"/>
        </w:rPr>
        <w:t xml:space="preserve"> (Accessed: 28 August 2024).</w:t>
      </w:r>
    </w:p>
    <w:p w14:paraId="130D4599" w14:textId="62B07926" w:rsidR="0021576C" w:rsidRPr="008C1EAE" w:rsidRDefault="0021576C" w:rsidP="003B4948">
      <w:pPr>
        <w:pStyle w:val="Prrafodelista"/>
        <w:numPr>
          <w:ilvl w:val="0"/>
          <w:numId w:val="1"/>
        </w:numPr>
        <w:ind w:left="426" w:hanging="426"/>
        <w:rPr>
          <w:rFonts w:ascii="Times New Roman" w:hAnsi="Times New Roman" w:cs="Times New Roman"/>
          <w:color w:val="000000" w:themeColor="text1"/>
          <w:lang w:val="en-GB"/>
        </w:rPr>
      </w:pPr>
      <w:r w:rsidRPr="008C1EAE">
        <w:rPr>
          <w:rFonts w:ascii="Times New Roman" w:hAnsi="Times New Roman" w:cs="Times New Roman"/>
          <w:color w:val="000000" w:themeColor="text1"/>
          <w:shd w:val="clear" w:color="auto" w:fill="FFFFFF"/>
          <w:lang w:val="en-GB"/>
        </w:rPr>
        <w:t xml:space="preserve">Huntley, B.J. (2023). Soil, Water and Nutrients. In: Ecology of Angola. Springer, Cham. </w:t>
      </w:r>
      <w:hyperlink r:id="rId21" w:history="1">
        <w:r w:rsidRPr="008C1EAE">
          <w:rPr>
            <w:rStyle w:val="Hipervnculo"/>
            <w:rFonts w:ascii="Times New Roman" w:hAnsi="Times New Roman" w:cs="Times New Roman"/>
            <w:color w:val="000000" w:themeColor="text1"/>
            <w:shd w:val="clear" w:color="auto" w:fill="FFFFFF"/>
            <w:lang w:val="es"/>
          </w:rPr>
          <w:t>https://doi.org/10.1007/978-3-031-18923-4_6</w:t>
        </w:r>
      </w:hyperlink>
      <w:r w:rsidRPr="008C1EAE">
        <w:rPr>
          <w:rFonts w:ascii="Times New Roman" w:hAnsi="Times New Roman" w:cs="Times New Roman"/>
          <w:color w:val="000000" w:themeColor="text1"/>
          <w:shd w:val="clear" w:color="auto" w:fill="FFFFFF"/>
          <w:lang w:val="es"/>
        </w:rPr>
        <w:t xml:space="preserve"> (</w:t>
      </w:r>
      <w:hyperlink r:id="rId22" w:anchor="citeas" w:history="1">
        <w:r w:rsidRPr="008C1EAE">
          <w:rPr>
            <w:rStyle w:val="Hipervnculo"/>
            <w:rFonts w:ascii="Times New Roman" w:hAnsi="Times New Roman" w:cs="Times New Roman"/>
            <w:color w:val="000000" w:themeColor="text1"/>
            <w:shd w:val="clear" w:color="auto" w:fill="FFFFFF"/>
            <w:lang w:val="es"/>
          </w:rPr>
          <w:t>https://link.springer.com/chapter/10.1007/978-3-031-18923-4_6#citeas</w:t>
        </w:r>
      </w:hyperlink>
      <w:r w:rsidRPr="008C1EAE">
        <w:rPr>
          <w:rFonts w:ascii="Times New Roman" w:hAnsi="Times New Roman" w:cs="Times New Roman"/>
          <w:color w:val="000000" w:themeColor="text1"/>
          <w:shd w:val="clear" w:color="auto" w:fill="FFFFFF"/>
          <w:lang w:val="es"/>
        </w:rPr>
        <w:t>)</w:t>
      </w:r>
    </w:p>
    <w:p w14:paraId="7F33B9FF" w14:textId="77777777" w:rsidR="003B4948" w:rsidRPr="008C1EAE" w:rsidRDefault="0021576C" w:rsidP="003B4948">
      <w:pPr>
        <w:pStyle w:val="Prrafodelista"/>
        <w:numPr>
          <w:ilvl w:val="0"/>
          <w:numId w:val="1"/>
        </w:numPr>
        <w:ind w:left="426" w:hanging="426"/>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Radziuk, H</w:t>
      </w:r>
      <w:r w:rsidR="005A766D" w:rsidRPr="008C1EAE">
        <w:rPr>
          <w:rFonts w:ascii="Times New Roman" w:hAnsi="Times New Roman" w:cs="Times New Roman"/>
          <w:color w:val="000000" w:themeColor="text1"/>
          <w:lang w:val="en-GB"/>
        </w:rPr>
        <w:t>.</w:t>
      </w:r>
      <w:r w:rsidRPr="008C1EAE">
        <w:rPr>
          <w:rFonts w:ascii="Times New Roman" w:hAnsi="Times New Roman" w:cs="Times New Roman"/>
          <w:color w:val="000000" w:themeColor="text1"/>
          <w:lang w:val="en-GB"/>
        </w:rPr>
        <w:t>, Świtoniak.</w:t>
      </w:r>
      <w:r w:rsidR="005A766D" w:rsidRPr="008C1EAE">
        <w:rPr>
          <w:rFonts w:ascii="Times New Roman" w:hAnsi="Times New Roman" w:cs="Times New Roman"/>
          <w:color w:val="000000" w:themeColor="text1"/>
          <w:lang w:val="en-GB"/>
        </w:rPr>
        <w:t xml:space="preserve"> M. (</w:t>
      </w:r>
      <w:r w:rsidRPr="008C1EAE">
        <w:rPr>
          <w:rFonts w:ascii="Times New Roman" w:hAnsi="Times New Roman" w:cs="Times New Roman"/>
          <w:color w:val="000000" w:themeColor="text1"/>
          <w:lang w:val="en-GB"/>
        </w:rPr>
        <w:t>2022</w:t>
      </w:r>
      <w:r w:rsidR="005A766D" w:rsidRPr="008C1EAE">
        <w:rPr>
          <w:rFonts w:ascii="Times New Roman" w:hAnsi="Times New Roman" w:cs="Times New Roman"/>
          <w:color w:val="000000" w:themeColor="text1"/>
          <w:lang w:val="en-GB"/>
        </w:rPr>
        <w:t>)</w:t>
      </w:r>
      <w:r w:rsidRPr="008C1EAE">
        <w:rPr>
          <w:rFonts w:ascii="Times New Roman" w:hAnsi="Times New Roman" w:cs="Times New Roman"/>
          <w:color w:val="000000" w:themeColor="text1"/>
          <w:lang w:val="en-GB"/>
        </w:rPr>
        <w:t>. The Effect of Erosional Transformation of Soil Cover on the Stability of Soil Aggregates within Young Hummocky Moraine Landscapes in Northern Poland</w:t>
      </w:r>
      <w:r w:rsidR="005A766D" w:rsidRPr="008C1EAE">
        <w:rPr>
          <w:rFonts w:ascii="Times New Roman" w:hAnsi="Times New Roman" w:cs="Times New Roman"/>
          <w:color w:val="000000" w:themeColor="text1"/>
          <w:lang w:val="en-GB"/>
        </w:rPr>
        <w:t>.</w:t>
      </w:r>
      <w:r w:rsidRPr="008C1EAE">
        <w:rPr>
          <w:rFonts w:ascii="Times New Roman" w:hAnsi="Times New Roman" w:cs="Times New Roman"/>
          <w:color w:val="000000" w:themeColor="text1"/>
          <w:lang w:val="en-GB"/>
        </w:rPr>
        <w:t xml:space="preserve"> </w:t>
      </w:r>
      <w:r w:rsidRPr="008C1EAE">
        <w:rPr>
          <w:rFonts w:ascii="Times New Roman" w:hAnsi="Times New Roman" w:cs="Times New Roman"/>
          <w:color w:val="000000" w:themeColor="text1"/>
          <w:lang w:val="es"/>
        </w:rPr>
        <w:t xml:space="preserve">Agronomy 12, no. 11: 2595. </w:t>
      </w:r>
      <w:hyperlink r:id="rId23" w:history="1">
        <w:r w:rsidR="005A766D" w:rsidRPr="008C1EAE">
          <w:rPr>
            <w:rStyle w:val="Hipervnculo"/>
            <w:rFonts w:ascii="Times New Roman" w:hAnsi="Times New Roman" w:cs="Times New Roman"/>
            <w:color w:val="000000" w:themeColor="text1"/>
            <w:lang w:val="es"/>
          </w:rPr>
          <w:t>https://doi.org/10.3390/agronomy12112595</w:t>
        </w:r>
      </w:hyperlink>
      <w:r w:rsidR="00767523" w:rsidRPr="008C1EAE">
        <w:rPr>
          <w:rFonts w:ascii="Times New Roman" w:hAnsi="Times New Roman" w:cs="Times New Roman"/>
          <w:color w:val="000000" w:themeColor="text1"/>
          <w:lang w:val="es"/>
        </w:rPr>
        <w:t>.</w:t>
      </w:r>
    </w:p>
    <w:p w14:paraId="7E736D69" w14:textId="1FB53DF2" w:rsidR="00767523" w:rsidRPr="008C1EAE" w:rsidRDefault="00C60A38" w:rsidP="003B4948">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Hoorman, J., Reeder, R., Sundermeier, A., Islam R., Aziz, I., </w:t>
      </w:r>
      <w:r w:rsidR="001A43DB" w:rsidRPr="008C1EAE">
        <w:rPr>
          <w:rFonts w:ascii="Times New Roman" w:hAnsi="Times New Roman" w:cs="Times New Roman"/>
          <w:color w:val="000000" w:themeColor="text1"/>
          <w:lang w:val="en-GB"/>
        </w:rPr>
        <w:t xml:space="preserve">(2012). </w:t>
      </w:r>
      <w:r w:rsidRPr="008C1EAE">
        <w:rPr>
          <w:rFonts w:ascii="Times New Roman" w:hAnsi="Times New Roman" w:cs="Times New Roman"/>
          <w:color w:val="000000" w:themeColor="text1"/>
          <w:lang w:val="en-GB"/>
        </w:rPr>
        <w:t>Soil Terminology and Definitions, Ohio State University</w:t>
      </w:r>
      <w:r w:rsidR="001A43DB" w:rsidRPr="008C1EAE">
        <w:rPr>
          <w:rFonts w:ascii="Times New Roman" w:hAnsi="Times New Roman" w:cs="Times New Roman"/>
          <w:color w:val="000000" w:themeColor="text1"/>
          <w:lang w:val="en-GB"/>
        </w:rPr>
        <w:t xml:space="preserve"> extension</w:t>
      </w:r>
      <w:r w:rsidRPr="008C1EAE">
        <w:rPr>
          <w:rFonts w:ascii="Times New Roman" w:hAnsi="Times New Roman" w:cs="Times New Roman"/>
          <w:color w:val="000000" w:themeColor="text1"/>
          <w:lang w:val="en-GB"/>
        </w:rPr>
        <w:t xml:space="preserve">. </w:t>
      </w:r>
      <w:hyperlink r:id="rId24" w:history="1">
        <w:r w:rsidR="001A43DB" w:rsidRPr="008C1EAE">
          <w:rPr>
            <w:rStyle w:val="Hipervnculo"/>
            <w:rFonts w:ascii="Times New Roman" w:hAnsi="Times New Roman" w:cs="Times New Roman"/>
            <w:lang w:val="es"/>
          </w:rPr>
          <w:t>https://ohioline.osu.edu/factsheet/SAG-19</w:t>
        </w:r>
      </w:hyperlink>
      <w:r w:rsidR="001A43DB" w:rsidRPr="008C1EAE">
        <w:rPr>
          <w:rFonts w:ascii="Times New Roman" w:hAnsi="Times New Roman" w:cs="Times New Roman"/>
          <w:color w:val="000000" w:themeColor="text1"/>
          <w:lang w:val="es"/>
        </w:rPr>
        <w:t xml:space="preserve"> (Acces</w:t>
      </w:r>
      <w:r w:rsidR="0000609E" w:rsidRPr="008C1EAE">
        <w:rPr>
          <w:rFonts w:ascii="Times New Roman" w:hAnsi="Times New Roman" w:cs="Times New Roman"/>
          <w:color w:val="000000" w:themeColor="text1"/>
          <w:lang w:val="es"/>
        </w:rPr>
        <w:t>s</w:t>
      </w:r>
      <w:r w:rsidR="001A43DB" w:rsidRPr="008C1EAE">
        <w:rPr>
          <w:rFonts w:ascii="Times New Roman" w:hAnsi="Times New Roman" w:cs="Times New Roman"/>
          <w:color w:val="000000" w:themeColor="text1"/>
          <w:lang w:val="es"/>
        </w:rPr>
        <w:t>ed: 29 august 2024)</w:t>
      </w:r>
    </w:p>
    <w:p w14:paraId="2D394610" w14:textId="77777777" w:rsidR="003B4948" w:rsidRPr="008C1EAE" w:rsidRDefault="003B4948" w:rsidP="003B4948">
      <w:pPr>
        <w:pStyle w:val="Prrafodelista"/>
        <w:numPr>
          <w:ilvl w:val="0"/>
          <w:numId w:val="1"/>
        </w:numPr>
        <w:ind w:left="426" w:hanging="426"/>
        <w:jc w:val="both"/>
        <w:rPr>
          <w:rFonts w:ascii="Times New Roman" w:hAnsi="Times New Roman" w:cs="Times New Roman"/>
          <w:color w:val="000000" w:themeColor="text1"/>
          <w:lang w:val="de-DE"/>
        </w:rPr>
      </w:pPr>
      <w:r w:rsidRPr="008C1EAE">
        <w:rPr>
          <w:rFonts w:ascii="Times New Roman" w:hAnsi="Times New Roman" w:cs="Times New Roman"/>
          <w:color w:val="000000" w:themeColor="text1"/>
          <w:lang w:val="de-DE"/>
        </w:rPr>
        <w:t>Nahm, M., &amp; Morhart, C. (2017). Multifunktionalität und Vielfalt von Agroforstwirtschaft. Bäume in der Land(wirt)schaft–von der Theorie in die Praxis, 17-24.</w:t>
      </w:r>
    </w:p>
    <w:p w14:paraId="0941A377" w14:textId="77777777" w:rsidR="003B4948" w:rsidRPr="008C1EAE" w:rsidRDefault="003B4948" w:rsidP="003B4948">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de-DE"/>
        </w:rPr>
        <w:t xml:space="preserve">Möller, A. &amp; Höper, H. (2015). Bewertung des Einsatzes von Biokohle in der Landwirtschaft aus Sicht des Bodenschutzes. </w:t>
      </w:r>
      <w:r w:rsidRPr="008C1EAE">
        <w:rPr>
          <w:rFonts w:ascii="Times New Roman" w:hAnsi="Times New Roman" w:cs="Times New Roman"/>
          <w:color w:val="000000" w:themeColor="text1"/>
          <w:lang w:val="es"/>
        </w:rPr>
        <w:t>Hannover, Landesamt für Bergbau, Energie und Geologie.</w:t>
      </w:r>
    </w:p>
    <w:p w14:paraId="3628C2EE" w14:textId="77777777" w:rsidR="003B4948" w:rsidRPr="008C1EAE" w:rsidRDefault="003B4948" w:rsidP="003B4948">
      <w:pPr>
        <w:pStyle w:val="Prrafodelista"/>
        <w:numPr>
          <w:ilvl w:val="0"/>
          <w:numId w:val="1"/>
        </w:numPr>
        <w:ind w:left="426" w:hanging="426"/>
        <w:jc w:val="both"/>
        <w:rPr>
          <w:rFonts w:ascii="Times New Roman" w:hAnsi="Times New Roman" w:cs="Times New Roman"/>
          <w:color w:val="000000" w:themeColor="text1"/>
          <w:lang w:val="de-DE"/>
        </w:rPr>
      </w:pPr>
      <w:r w:rsidRPr="008C1EAE">
        <w:rPr>
          <w:rFonts w:ascii="Times New Roman" w:hAnsi="Times New Roman" w:cs="Times New Roman"/>
          <w:color w:val="000000" w:themeColor="text1"/>
          <w:lang w:val="de-DE"/>
        </w:rPr>
        <w:t>Möller, K., Sauter, G., Mann, T., Flaig, H., &amp; Breuer, J. (2022). Wissenschaftliche Bewertung der Methoden der Regenerativen Landwirtschaft. In Conference (Vol. 132, pp. 107-117).</w:t>
      </w:r>
    </w:p>
    <w:p w14:paraId="54CAEEDD" w14:textId="1165EE68" w:rsidR="006D24D6" w:rsidRPr="008C1EAE" w:rsidRDefault="006D24D6" w:rsidP="003B4948">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European Coordination Via Campesina (2016). </w:t>
      </w:r>
      <w:r w:rsidRPr="008C1EAE">
        <w:rPr>
          <w:rFonts w:ascii="Times New Roman" w:hAnsi="Times New Roman" w:cs="Times New Roman"/>
          <w:lang w:val="en-GB"/>
        </w:rPr>
        <w:t>How do we define Land Grabbing?</w:t>
      </w:r>
      <w:r w:rsidRPr="008C1EAE">
        <w:rPr>
          <w:rFonts w:ascii="Times New Roman" w:hAnsi="Times New Roman" w:cs="Times New Roman"/>
          <w:color w:val="000000" w:themeColor="text1"/>
          <w:lang w:val="en-GB"/>
        </w:rPr>
        <w:t xml:space="preserve"> </w:t>
      </w:r>
      <w:hyperlink r:id="rId25" w:history="1">
        <w:r w:rsidRPr="008C1EAE">
          <w:rPr>
            <w:rStyle w:val="Hipervnculo"/>
            <w:rFonts w:ascii="Times New Roman" w:hAnsi="Times New Roman" w:cs="Times New Roman"/>
            <w:lang w:val="en-GB"/>
          </w:rPr>
          <w:t>https://www.eurovia.org/wp-content/uploads/2016/11/defining-land-grabs.pdf</w:t>
        </w:r>
      </w:hyperlink>
      <w:r w:rsidRPr="008C1EAE">
        <w:rPr>
          <w:rFonts w:ascii="Times New Roman" w:hAnsi="Times New Roman" w:cs="Times New Roman"/>
          <w:color w:val="000000" w:themeColor="text1"/>
          <w:lang w:val="en-GB"/>
        </w:rPr>
        <w:t xml:space="preserve"> </w:t>
      </w:r>
      <w:bookmarkStart w:id="3" w:name="_Hlk180704550"/>
      <w:r w:rsidRPr="008C1EAE">
        <w:rPr>
          <w:rFonts w:ascii="Times New Roman" w:hAnsi="Times New Roman" w:cs="Times New Roman"/>
          <w:color w:val="000000" w:themeColor="text1"/>
          <w:lang w:val="en-GB"/>
        </w:rPr>
        <w:t>(Acces</w:t>
      </w:r>
      <w:r w:rsidR="0000609E" w:rsidRPr="008C1EAE">
        <w:rPr>
          <w:rFonts w:ascii="Times New Roman" w:hAnsi="Times New Roman" w:cs="Times New Roman"/>
          <w:color w:val="000000" w:themeColor="text1"/>
          <w:lang w:val="en-GB"/>
        </w:rPr>
        <w:t>s</w:t>
      </w:r>
      <w:r w:rsidRPr="008C1EAE">
        <w:rPr>
          <w:rFonts w:ascii="Times New Roman" w:hAnsi="Times New Roman" w:cs="Times New Roman"/>
          <w:color w:val="000000" w:themeColor="text1"/>
          <w:lang w:val="en-GB"/>
        </w:rPr>
        <w:t>ed:</w:t>
      </w:r>
      <w:r w:rsidR="00262263" w:rsidRPr="008C1EAE">
        <w:rPr>
          <w:rFonts w:ascii="Times New Roman" w:hAnsi="Times New Roman" w:cs="Times New Roman"/>
          <w:color w:val="000000" w:themeColor="text1"/>
          <w:lang w:val="en-GB"/>
        </w:rPr>
        <w:t xml:space="preserve"> </w:t>
      </w:r>
      <w:r w:rsidRPr="008C1EAE">
        <w:rPr>
          <w:rFonts w:ascii="Times New Roman" w:hAnsi="Times New Roman" w:cs="Times New Roman"/>
          <w:color w:val="000000" w:themeColor="text1"/>
          <w:lang w:val="en-GB"/>
        </w:rPr>
        <w:t>6.10.2024)</w:t>
      </w:r>
      <w:bookmarkEnd w:id="3"/>
    </w:p>
    <w:p w14:paraId="083A7C4A" w14:textId="18ECFB56" w:rsidR="006D24D6" w:rsidRPr="008C1EAE" w:rsidRDefault="006D24D6" w:rsidP="003B4948">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Kopittke, P. M., Minasny, B., Pendall, E., Rumpel, C., &amp; McKenna, B. A. (2023). Healthy soil for healthy humans and a healthy planet. Critical Reviews in Environmental Science and Technology, 54(3), 210–221. </w:t>
      </w:r>
      <w:hyperlink r:id="rId26" w:history="1">
        <w:r w:rsidRPr="008C1EAE">
          <w:rPr>
            <w:rStyle w:val="Hipervnculo"/>
            <w:rFonts w:ascii="Times New Roman" w:hAnsi="Times New Roman" w:cs="Times New Roman"/>
            <w:lang w:val="es"/>
          </w:rPr>
          <w:t>https://doi.org/10.1080/10643389.2023.2228651</w:t>
        </w:r>
      </w:hyperlink>
      <w:r w:rsidRPr="008C1EAE">
        <w:rPr>
          <w:rFonts w:ascii="Times New Roman" w:hAnsi="Times New Roman" w:cs="Times New Roman"/>
          <w:color w:val="000000" w:themeColor="text1"/>
          <w:lang w:val="es"/>
        </w:rPr>
        <w:t>.</w:t>
      </w:r>
    </w:p>
    <w:p w14:paraId="46BEDADB" w14:textId="3F3CC20B" w:rsidR="00E03E8D" w:rsidRPr="008C1EAE" w:rsidRDefault="00E03E8D" w:rsidP="003B4948">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NSRI Staff (2011). Glossary of Soil-Related Terms. </w:t>
      </w:r>
      <w:r w:rsidRPr="008C1EAE">
        <w:rPr>
          <w:rFonts w:ascii="Times New Roman" w:hAnsi="Times New Roman" w:cs="Times New Roman"/>
          <w:color w:val="000000" w:themeColor="text1"/>
          <w:lang w:val="es"/>
        </w:rPr>
        <w:t>9pp. NSRI, Cranfield University, UK,</w:t>
      </w:r>
      <w:r w:rsidRPr="008C1EAE">
        <w:rPr>
          <w:lang w:val="es"/>
        </w:rPr>
        <w:t xml:space="preserve"> </w:t>
      </w:r>
      <w:hyperlink r:id="rId27" w:history="1">
        <w:r w:rsidRPr="008C1EAE">
          <w:rPr>
            <w:rStyle w:val="Hipervnculo"/>
            <w:rFonts w:ascii="Times New Roman" w:hAnsi="Times New Roman" w:cs="Times New Roman"/>
            <w:lang w:val="es"/>
          </w:rPr>
          <w:t>https://www.landis.org.uk/downloads/downloads/Glossary.pdf</w:t>
        </w:r>
      </w:hyperlink>
    </w:p>
    <w:p w14:paraId="22DED156" w14:textId="77777777" w:rsidR="00DD73DC" w:rsidRPr="008C1EAE" w:rsidRDefault="00DD73DC" w:rsidP="003B4948">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da-DK"/>
        </w:rPr>
        <w:t xml:space="preserve">Reiff, J., Jungkunst, H.F., Mauser, K.M. et al. </w:t>
      </w:r>
      <w:r w:rsidRPr="008C1EAE">
        <w:rPr>
          <w:rFonts w:ascii="Times New Roman" w:hAnsi="Times New Roman" w:cs="Times New Roman"/>
          <w:color w:val="000000" w:themeColor="text1"/>
          <w:lang w:val="en-GB"/>
        </w:rPr>
        <w:t xml:space="preserve">(2024). Permaculture enhances carbon stocks, soil quality and biodiversity in Central Europe. </w:t>
      </w:r>
      <w:r w:rsidRPr="008C1EAE">
        <w:rPr>
          <w:rFonts w:ascii="Times New Roman" w:hAnsi="Times New Roman" w:cs="Times New Roman"/>
          <w:color w:val="000000" w:themeColor="text1"/>
          <w:lang w:val="es"/>
        </w:rPr>
        <w:t xml:space="preserve">Commun Earth Environ 5, 305. </w:t>
      </w:r>
      <w:hyperlink r:id="rId28" w:history="1">
        <w:r w:rsidRPr="008C1EAE">
          <w:rPr>
            <w:rStyle w:val="Hipervnculo"/>
            <w:rFonts w:ascii="Times New Roman" w:hAnsi="Times New Roman" w:cs="Times New Roman"/>
            <w:lang w:val="es"/>
          </w:rPr>
          <w:t>https://doi.org/10.1038/s43247-024-01405-8</w:t>
        </w:r>
      </w:hyperlink>
      <w:r w:rsidRPr="008C1EAE">
        <w:rPr>
          <w:rFonts w:ascii="Times New Roman" w:hAnsi="Times New Roman" w:cs="Times New Roman"/>
          <w:color w:val="000000" w:themeColor="text1"/>
          <w:lang w:val="es"/>
        </w:rPr>
        <w:t xml:space="preserve">. </w:t>
      </w:r>
    </w:p>
    <w:p w14:paraId="5911988C" w14:textId="5672D5D4" w:rsidR="003F1C18" w:rsidRPr="008C1EAE" w:rsidRDefault="003F1C18" w:rsidP="003B4948">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pl-PL"/>
        </w:rPr>
        <w:t xml:space="preserve">Bednarek, R., Skiba, S. (2015). Czynniki i procesy glebotwórcze. </w:t>
      </w:r>
      <w:r w:rsidRPr="008C1EAE">
        <w:rPr>
          <w:rFonts w:ascii="Times New Roman" w:hAnsi="Times New Roman" w:cs="Times New Roman"/>
          <w:color w:val="000000" w:themeColor="text1"/>
          <w:lang w:val="es"/>
        </w:rPr>
        <w:t>Chapt 3 in: Mocek A. (Ed). Gleboznawstwo. PWN, Warszawa, Poland.</w:t>
      </w:r>
    </w:p>
    <w:p w14:paraId="13161791" w14:textId="77777777" w:rsidR="002A67F8" w:rsidRPr="008C1EAE" w:rsidRDefault="00AF434D" w:rsidP="00AE11B5">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W.E.H. Blum, W.E.H., Schad, P., Nortcliff, S. (2018). Essentials of soil science. </w:t>
      </w:r>
      <w:r w:rsidRPr="008C1EAE">
        <w:rPr>
          <w:rFonts w:ascii="Times New Roman" w:hAnsi="Times New Roman" w:cs="Times New Roman"/>
          <w:color w:val="000000" w:themeColor="text1"/>
          <w:lang w:val="es"/>
        </w:rPr>
        <w:t>Borntraeger Science Publishers, Stuttgart.</w:t>
      </w:r>
    </w:p>
    <w:p w14:paraId="5192CDF2" w14:textId="10D24064" w:rsidR="00AE11B5" w:rsidRPr="008C1EAE" w:rsidRDefault="00AE11B5" w:rsidP="00AE11B5">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pl-PL"/>
        </w:rPr>
        <w:t xml:space="preserve">Kocira, A., Staniak, M., Tomaszewska, M., Kornas, R., Cymerman, J., Panasiewicz, K., &amp; Lipińska, H. (2020). </w:t>
      </w:r>
      <w:r w:rsidRPr="008C1EAE">
        <w:rPr>
          <w:rFonts w:ascii="Times New Roman" w:hAnsi="Times New Roman" w:cs="Times New Roman"/>
          <w:color w:val="000000" w:themeColor="text1"/>
          <w:lang w:val="en-GB"/>
        </w:rPr>
        <w:t xml:space="preserve">Legume Cover Crops as One of the Elements of Strategic Weed Management and Soil Quality Improvement. </w:t>
      </w:r>
      <w:r w:rsidRPr="008C1EAE">
        <w:rPr>
          <w:rFonts w:ascii="Times New Roman" w:hAnsi="Times New Roman" w:cs="Times New Roman"/>
          <w:color w:val="000000" w:themeColor="text1"/>
          <w:lang w:val="es"/>
        </w:rPr>
        <w:t>A Review. Agriculture. DOI:</w:t>
      </w:r>
      <w:r w:rsidRPr="008C1EAE">
        <w:rPr>
          <w:lang w:val="es"/>
        </w:rPr>
        <w:t xml:space="preserve"> </w:t>
      </w:r>
      <w:hyperlink r:id="rId29" w:history="1">
        <w:r w:rsidRPr="008C1EAE">
          <w:rPr>
            <w:rStyle w:val="Hipervnculo"/>
            <w:rFonts w:ascii="Times New Roman" w:hAnsi="Times New Roman" w:cs="Times New Roman"/>
            <w:lang w:val="es"/>
          </w:rPr>
          <w:t>https://doi.org/10.3390/agriculture10090394</w:t>
        </w:r>
      </w:hyperlink>
      <w:r w:rsidRPr="008C1EAE">
        <w:rPr>
          <w:rFonts w:ascii="Times New Roman" w:hAnsi="Times New Roman" w:cs="Times New Roman"/>
          <w:color w:val="000000" w:themeColor="text1"/>
          <w:lang w:val="es"/>
        </w:rPr>
        <w:t>.</w:t>
      </w:r>
    </w:p>
    <w:p w14:paraId="07F3A691" w14:textId="0E81F9B7" w:rsidR="00AE11B5" w:rsidRPr="008C1EAE" w:rsidRDefault="00AE11B5" w:rsidP="00AE11B5">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Sharma, P., Singh, A., Kahlon, C.S., Brar, A.S., Grover, K., Dia, M., &amp; Steiner, R.L. (2018). The Role of Cover Crops towards Sustainable Soil Health and Agriculture—A Review Paper. American Journal of Plant Sciences, 09, 1935-1951. DOI: </w:t>
      </w:r>
      <w:hyperlink r:id="rId30" w:history="1">
        <w:r w:rsidRPr="008C1EAE">
          <w:rPr>
            <w:rStyle w:val="Hipervnculo"/>
            <w:rFonts w:ascii="Times New Roman" w:hAnsi="Times New Roman" w:cs="Times New Roman"/>
            <w:lang w:val="en-GB"/>
          </w:rPr>
          <w:t>https://doi.org/10.4236/AJPS.2018.99140</w:t>
        </w:r>
      </w:hyperlink>
      <w:r w:rsidRPr="008C1EAE">
        <w:rPr>
          <w:rFonts w:ascii="Times New Roman" w:hAnsi="Times New Roman" w:cs="Times New Roman"/>
          <w:color w:val="000000" w:themeColor="text1"/>
          <w:lang w:val="en-GB"/>
        </w:rPr>
        <w:t>.</w:t>
      </w:r>
    </w:p>
    <w:p w14:paraId="2949C080" w14:textId="77777777" w:rsidR="00B54C32" w:rsidRPr="008C1EAE" w:rsidRDefault="00B54C32" w:rsidP="00AE11B5">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Molles, M. C. (2016). Ecology: concepts and applications. Seventh edition. New York, NY, McGraw-Hill Education.</w:t>
      </w:r>
    </w:p>
    <w:p w14:paraId="0D6AAE58" w14:textId="77777777" w:rsidR="00A561D2" w:rsidRPr="008C1EAE" w:rsidRDefault="00A561D2" w:rsidP="00AE11B5">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Cunningham, W.P., and Cunningham</w:t>
      </w:r>
      <w:r w:rsidR="00B54C32" w:rsidRPr="008C1EAE">
        <w:rPr>
          <w:rFonts w:ascii="Times New Roman" w:hAnsi="Times New Roman" w:cs="Times New Roman"/>
          <w:color w:val="000000" w:themeColor="text1"/>
          <w:lang w:val="en-GB"/>
        </w:rPr>
        <w:t>, M.A. (2002).</w:t>
      </w:r>
      <w:r w:rsidRPr="008C1EAE">
        <w:rPr>
          <w:rFonts w:ascii="Times New Roman" w:hAnsi="Times New Roman" w:cs="Times New Roman"/>
          <w:color w:val="000000" w:themeColor="text1"/>
          <w:lang w:val="en-GB"/>
        </w:rPr>
        <w:t xml:space="preserve"> Principles of Environmental Science: Inquiry and Applications. </w:t>
      </w:r>
      <w:r w:rsidRPr="008C1EAE">
        <w:rPr>
          <w:rFonts w:ascii="Times New Roman" w:hAnsi="Times New Roman" w:cs="Times New Roman"/>
          <w:color w:val="000000" w:themeColor="text1"/>
          <w:lang w:val="es"/>
        </w:rPr>
        <w:t>McGraw-Hill.</w:t>
      </w:r>
    </w:p>
    <w:p w14:paraId="50AF1027" w14:textId="0CA233CB" w:rsidR="00B54C32" w:rsidRPr="008C1EAE" w:rsidRDefault="00B54C32" w:rsidP="00AE11B5">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lastRenderedPageBreak/>
        <w:t xml:space="preserve">Diekmann, M., Andres, C., Becker, T., Bennie, J.J., Blüml, V., Bullock, J.M., Culmsee, H., Fanigliulo, M., Hahn, A., Heinken, T., Leuschner, C., Luka, S., Meissner, J., Müller, J., Newton, A.C., Peppler‐Lisbach, C., Rosenthal, G., van den Berg, L.J., Vergeer, P., &amp; Wesche, K. (2019). Patterns of long‐term vegetation change vary between different types of semi‐natural grasslands in Western and Central Europe. </w:t>
      </w:r>
      <w:r w:rsidRPr="008C1EAE">
        <w:rPr>
          <w:rFonts w:ascii="Times New Roman" w:hAnsi="Times New Roman" w:cs="Times New Roman"/>
          <w:color w:val="000000" w:themeColor="text1"/>
          <w:lang w:val="es"/>
        </w:rPr>
        <w:t>Journal of Vegetation Science, 30, 187–202.</w:t>
      </w:r>
      <w:r w:rsidR="0000122B" w:rsidRPr="008C1EAE">
        <w:rPr>
          <w:rFonts w:ascii="Times New Roman" w:hAnsi="Times New Roman" w:cs="Times New Roman"/>
          <w:color w:val="000000" w:themeColor="text1"/>
          <w:lang w:val="es"/>
        </w:rPr>
        <w:t xml:space="preserve"> DOI:</w:t>
      </w:r>
      <w:r w:rsidR="0000122B" w:rsidRPr="008C1EAE">
        <w:rPr>
          <w:rFonts w:ascii="Times New Roman" w:hAnsi="Times New Roman" w:cs="Times New Roman"/>
          <w:lang w:val="es"/>
        </w:rPr>
        <w:t xml:space="preserve"> </w:t>
      </w:r>
      <w:hyperlink r:id="rId31" w:history="1">
        <w:r w:rsidR="0000122B" w:rsidRPr="008C1EAE">
          <w:rPr>
            <w:rStyle w:val="Hipervnculo"/>
            <w:rFonts w:ascii="Times New Roman" w:hAnsi="Times New Roman" w:cs="Times New Roman"/>
            <w:lang w:val="es"/>
          </w:rPr>
          <w:t>https://doi.org/10.1111/jvs.12727</w:t>
        </w:r>
      </w:hyperlink>
      <w:r w:rsidR="0000122B" w:rsidRPr="008C1EAE">
        <w:rPr>
          <w:rFonts w:ascii="Times New Roman" w:hAnsi="Times New Roman" w:cs="Times New Roman"/>
          <w:color w:val="000000" w:themeColor="text1"/>
          <w:lang w:val="es"/>
        </w:rPr>
        <w:t>.</w:t>
      </w:r>
    </w:p>
    <w:p w14:paraId="670B8C1F" w14:textId="45A9A240" w:rsidR="0000122B" w:rsidRPr="008C1EAE" w:rsidRDefault="0000122B" w:rsidP="00AE11B5">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Medina-Álvarez, E., and Sánchez-Medina, P.S. (2023). Types of organizational culture and sustainability in ecotourism businesses in southern Mexico. Journal of Economics, Finance and Administrative Science. DOI: </w:t>
      </w:r>
      <w:hyperlink r:id="rId32" w:history="1">
        <w:r w:rsidRPr="008C1EAE">
          <w:rPr>
            <w:rStyle w:val="Hipervnculo"/>
            <w:rFonts w:ascii="Times New Roman" w:hAnsi="Times New Roman" w:cs="Times New Roman"/>
            <w:lang w:val="en-GB"/>
          </w:rPr>
          <w:t>https://doi.org/10.1108/jefas-12-2021-0267</w:t>
        </w:r>
      </w:hyperlink>
      <w:r w:rsidRPr="008C1EAE">
        <w:rPr>
          <w:rFonts w:ascii="Times New Roman" w:hAnsi="Times New Roman" w:cs="Times New Roman"/>
          <w:color w:val="000000" w:themeColor="text1"/>
          <w:lang w:val="en-GB"/>
        </w:rPr>
        <w:t>.</w:t>
      </w:r>
    </w:p>
    <w:p w14:paraId="410B66F1" w14:textId="17C2513C" w:rsidR="00D33ED2" w:rsidRPr="008C1EAE" w:rsidRDefault="00D33ED2" w:rsidP="00AE11B5">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Johnson, K.L., Stone, W., Dominelli, L., Chivasa, S., Clarke, C.E., Gwandu, T., &amp; Appleby, J. (2023). Boosting soil literacy in schools can help improve understanding of soil/human health linkages in Generation Z. Frontiers in Environmental Science, vol. 10, 1-12. </w:t>
      </w:r>
      <w:r w:rsidRPr="008C1EAE">
        <w:rPr>
          <w:rFonts w:ascii="Times New Roman" w:hAnsi="Times New Roman" w:cs="Times New Roman"/>
          <w:color w:val="000000" w:themeColor="text1"/>
          <w:lang w:val="es"/>
        </w:rPr>
        <w:t xml:space="preserve">DOI: </w:t>
      </w:r>
      <w:hyperlink r:id="rId33" w:history="1">
        <w:r w:rsidRPr="008C1EAE">
          <w:rPr>
            <w:rStyle w:val="Hipervnculo"/>
            <w:rFonts w:ascii="Times New Roman" w:hAnsi="Times New Roman" w:cs="Times New Roman"/>
            <w:lang w:val="es"/>
          </w:rPr>
          <w:t>https://doi.org/10.3389/fenvs.2022.1028839</w:t>
        </w:r>
      </w:hyperlink>
      <w:r w:rsidRPr="008C1EAE">
        <w:rPr>
          <w:rFonts w:ascii="Times New Roman" w:hAnsi="Times New Roman" w:cs="Times New Roman"/>
          <w:color w:val="000000" w:themeColor="text1"/>
          <w:lang w:val="es"/>
        </w:rPr>
        <w:t>.</w:t>
      </w:r>
    </w:p>
    <w:p w14:paraId="6D78F1AE" w14:textId="77777777" w:rsidR="00CB0D6C" w:rsidRPr="008C1EAE" w:rsidRDefault="00CB0D6C" w:rsidP="00AE11B5">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Levy, R. (2023). Home–school communication: what we have learned from the pandemic. </w:t>
      </w:r>
      <w:r w:rsidRPr="008C1EAE">
        <w:rPr>
          <w:rFonts w:ascii="Times New Roman" w:hAnsi="Times New Roman" w:cs="Times New Roman"/>
          <w:color w:val="000000" w:themeColor="text1"/>
          <w:lang w:val="es"/>
        </w:rPr>
        <w:t xml:space="preserve">Education 3-13, 52(1), 21–32. </w:t>
      </w:r>
      <w:hyperlink r:id="rId34" w:history="1">
        <w:r w:rsidR="006F7FFC" w:rsidRPr="008C1EAE">
          <w:rPr>
            <w:rStyle w:val="Hipervnculo"/>
            <w:rFonts w:ascii="Times New Roman" w:hAnsi="Times New Roman" w:cs="Times New Roman"/>
            <w:lang w:val="es"/>
          </w:rPr>
          <w:t>https://doi.org/10.1080/03004279.2023.2186972</w:t>
        </w:r>
      </w:hyperlink>
    </w:p>
    <w:p w14:paraId="53DCA103" w14:textId="3172D9E0" w:rsidR="006F7FFC" w:rsidRPr="008C1EAE" w:rsidRDefault="006F7FFC" w:rsidP="00AE11B5">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Social and Behaviour Change Communication</w:t>
      </w:r>
      <w:r w:rsidR="002841B1" w:rsidRPr="008C1EAE">
        <w:rPr>
          <w:rFonts w:ascii="Times New Roman" w:hAnsi="Times New Roman" w:cs="Times New Roman"/>
          <w:color w:val="000000" w:themeColor="text1"/>
          <w:lang w:val="en-GB"/>
        </w:rPr>
        <w:t xml:space="preserve"> (UNICEF). Designing holistic and data-driven communications to enable change. </w:t>
      </w:r>
      <w:hyperlink r:id="rId35" w:history="1">
        <w:r w:rsidR="002841B1" w:rsidRPr="008C1EAE">
          <w:rPr>
            <w:rStyle w:val="Hipervnculo"/>
            <w:rFonts w:ascii="Times New Roman" w:hAnsi="Times New Roman" w:cs="Times New Roman"/>
            <w:lang w:val="en-GB"/>
          </w:rPr>
          <w:t>https://www.sbcguidance.org/understand/social-and-behaviour-change-communication</w:t>
        </w:r>
      </w:hyperlink>
      <w:r w:rsidR="002841B1" w:rsidRPr="008C1EAE">
        <w:rPr>
          <w:rFonts w:ascii="Times New Roman" w:hAnsi="Times New Roman" w:cs="Times New Roman"/>
          <w:color w:val="000000" w:themeColor="text1"/>
          <w:lang w:val="en-GB"/>
        </w:rPr>
        <w:t xml:space="preserve"> (Acce</w:t>
      </w:r>
      <w:r w:rsidR="0000609E" w:rsidRPr="008C1EAE">
        <w:rPr>
          <w:rFonts w:ascii="Times New Roman" w:hAnsi="Times New Roman" w:cs="Times New Roman"/>
          <w:color w:val="000000" w:themeColor="text1"/>
          <w:lang w:val="en-GB"/>
        </w:rPr>
        <w:t>s</w:t>
      </w:r>
      <w:r w:rsidR="002841B1" w:rsidRPr="008C1EAE">
        <w:rPr>
          <w:rFonts w:ascii="Times New Roman" w:hAnsi="Times New Roman" w:cs="Times New Roman"/>
          <w:color w:val="000000" w:themeColor="text1"/>
          <w:lang w:val="en-GB"/>
        </w:rPr>
        <w:t>sed: 23.10.2024)</w:t>
      </w:r>
    </w:p>
    <w:p w14:paraId="5219D338" w14:textId="7C3FC629" w:rsidR="002841B1" w:rsidRPr="008C1EAE" w:rsidRDefault="002841B1" w:rsidP="00AE11B5">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Crawfoord, J. (2021).</w:t>
      </w:r>
      <w:r w:rsidRPr="008C1EAE">
        <w:rPr>
          <w:rFonts w:ascii="Times New Roman" w:hAnsi="Times New Roman" w:cs="Times New Roman"/>
          <w:lang w:val="en-GB"/>
        </w:rPr>
        <w:t xml:space="preserve"> </w:t>
      </w:r>
      <w:r w:rsidR="00AD37EC" w:rsidRPr="008C1EAE">
        <w:rPr>
          <w:rFonts w:ascii="Times New Roman" w:hAnsi="Times New Roman" w:cs="Times New Roman"/>
          <w:lang w:val="en-GB"/>
        </w:rPr>
        <w:t>1</w:t>
      </w:r>
      <w:r w:rsidRPr="008C1EAE">
        <w:rPr>
          <w:rFonts w:ascii="Times New Roman" w:hAnsi="Times New Roman" w:cs="Times New Roman"/>
          <w:color w:val="000000" w:themeColor="text1"/>
          <w:lang w:val="en-GB"/>
        </w:rPr>
        <w:t xml:space="preserve">0 </w:t>
      </w:r>
      <w:r w:rsidR="0000609E" w:rsidRPr="008C1EAE">
        <w:rPr>
          <w:rFonts w:ascii="Times New Roman" w:hAnsi="Times New Roman" w:cs="Times New Roman"/>
          <w:color w:val="000000" w:themeColor="text1"/>
          <w:lang w:val="en-GB"/>
        </w:rPr>
        <w:t>new</w:t>
      </w:r>
      <w:r w:rsidRPr="008C1EAE">
        <w:rPr>
          <w:rFonts w:ascii="Times New Roman" w:hAnsi="Times New Roman" w:cs="Times New Roman"/>
          <w:color w:val="000000" w:themeColor="text1"/>
          <w:lang w:val="en-GB"/>
        </w:rPr>
        <w:t xml:space="preserve"> </w:t>
      </w:r>
      <w:r w:rsidR="00AD37EC" w:rsidRPr="008C1EAE">
        <w:rPr>
          <w:rFonts w:ascii="Times New Roman" w:hAnsi="Times New Roman" w:cs="Times New Roman"/>
          <w:color w:val="000000" w:themeColor="text1"/>
          <w:lang w:val="en-GB"/>
        </w:rPr>
        <w:t>w</w:t>
      </w:r>
      <w:r w:rsidRPr="008C1EAE">
        <w:rPr>
          <w:rFonts w:ascii="Times New Roman" w:hAnsi="Times New Roman" w:cs="Times New Roman"/>
          <w:color w:val="000000" w:themeColor="text1"/>
          <w:lang w:val="en-GB"/>
        </w:rPr>
        <w:t xml:space="preserve">ays to </w:t>
      </w:r>
      <w:r w:rsidR="00AD37EC" w:rsidRPr="008C1EAE">
        <w:rPr>
          <w:rFonts w:ascii="Times New Roman" w:hAnsi="Times New Roman" w:cs="Times New Roman"/>
          <w:color w:val="000000" w:themeColor="text1"/>
          <w:lang w:val="en-GB"/>
        </w:rPr>
        <w:t>c</w:t>
      </w:r>
      <w:r w:rsidRPr="008C1EAE">
        <w:rPr>
          <w:rFonts w:ascii="Times New Roman" w:hAnsi="Times New Roman" w:cs="Times New Roman"/>
          <w:color w:val="000000" w:themeColor="text1"/>
          <w:lang w:val="en-GB"/>
        </w:rPr>
        <w:t xml:space="preserve">ommunicate in </w:t>
      </w:r>
      <w:r w:rsidR="00AD37EC" w:rsidRPr="008C1EAE">
        <w:rPr>
          <w:rFonts w:ascii="Times New Roman" w:hAnsi="Times New Roman" w:cs="Times New Roman"/>
          <w:color w:val="000000" w:themeColor="text1"/>
          <w:lang w:val="en-GB"/>
        </w:rPr>
        <w:t>t</w:t>
      </w:r>
      <w:r w:rsidRPr="008C1EAE">
        <w:rPr>
          <w:rFonts w:ascii="Times New Roman" w:hAnsi="Times New Roman" w:cs="Times New Roman"/>
          <w:color w:val="000000" w:themeColor="text1"/>
          <w:lang w:val="en-GB"/>
        </w:rPr>
        <w:t xml:space="preserve">he </w:t>
      </w:r>
      <w:r w:rsidR="00AD37EC" w:rsidRPr="008C1EAE">
        <w:rPr>
          <w:rFonts w:ascii="Times New Roman" w:hAnsi="Times New Roman" w:cs="Times New Roman"/>
          <w:color w:val="000000" w:themeColor="text1"/>
          <w:lang w:val="en-GB"/>
        </w:rPr>
        <w:t>a</w:t>
      </w:r>
      <w:r w:rsidRPr="008C1EAE">
        <w:rPr>
          <w:rFonts w:ascii="Times New Roman" w:hAnsi="Times New Roman" w:cs="Times New Roman"/>
          <w:color w:val="000000" w:themeColor="text1"/>
          <w:lang w:val="en-GB"/>
        </w:rPr>
        <w:t xml:space="preserve">ge </w:t>
      </w:r>
      <w:r w:rsidR="00AD37EC" w:rsidRPr="008C1EAE">
        <w:rPr>
          <w:rFonts w:ascii="Times New Roman" w:hAnsi="Times New Roman" w:cs="Times New Roman"/>
          <w:color w:val="000000" w:themeColor="text1"/>
          <w:lang w:val="en-GB"/>
        </w:rPr>
        <w:t>o</w:t>
      </w:r>
      <w:r w:rsidRPr="008C1EAE">
        <w:rPr>
          <w:rFonts w:ascii="Times New Roman" w:hAnsi="Times New Roman" w:cs="Times New Roman"/>
          <w:color w:val="000000" w:themeColor="text1"/>
          <w:lang w:val="en-GB"/>
        </w:rPr>
        <w:t xml:space="preserve">f </w:t>
      </w:r>
      <w:r w:rsidR="00AD37EC" w:rsidRPr="008C1EAE">
        <w:rPr>
          <w:rFonts w:ascii="Times New Roman" w:hAnsi="Times New Roman" w:cs="Times New Roman"/>
          <w:color w:val="000000" w:themeColor="text1"/>
          <w:lang w:val="en-GB"/>
        </w:rPr>
        <w:t>d</w:t>
      </w:r>
      <w:r w:rsidRPr="008C1EAE">
        <w:rPr>
          <w:rFonts w:ascii="Times New Roman" w:hAnsi="Times New Roman" w:cs="Times New Roman"/>
          <w:color w:val="000000" w:themeColor="text1"/>
          <w:lang w:val="en-GB"/>
        </w:rPr>
        <w:t xml:space="preserve">igital </w:t>
      </w:r>
      <w:r w:rsidR="00AD37EC" w:rsidRPr="008C1EAE">
        <w:rPr>
          <w:rFonts w:ascii="Times New Roman" w:hAnsi="Times New Roman" w:cs="Times New Roman"/>
          <w:color w:val="000000" w:themeColor="text1"/>
          <w:lang w:val="en-GB"/>
        </w:rPr>
        <w:t>t</w:t>
      </w:r>
      <w:r w:rsidRPr="008C1EAE">
        <w:rPr>
          <w:rFonts w:ascii="Times New Roman" w:hAnsi="Times New Roman" w:cs="Times New Roman"/>
          <w:color w:val="000000" w:themeColor="text1"/>
          <w:lang w:val="en-GB"/>
        </w:rPr>
        <w:t xml:space="preserve">echnology. </w:t>
      </w:r>
      <w:hyperlink r:id="rId36" w:history="1">
        <w:r w:rsidRPr="008C1EAE">
          <w:rPr>
            <w:rStyle w:val="Hipervnculo"/>
            <w:rFonts w:ascii="Times New Roman" w:hAnsi="Times New Roman" w:cs="Times New Roman"/>
            <w:lang w:val="en-GB"/>
          </w:rPr>
          <w:t>https://techresearchonline.com/blog/10-new-ways-to-communicate-digitally-age-of-digital-technology/</w:t>
        </w:r>
      </w:hyperlink>
      <w:r w:rsidRPr="008C1EAE">
        <w:rPr>
          <w:rFonts w:ascii="Times New Roman" w:hAnsi="Times New Roman" w:cs="Times New Roman"/>
          <w:color w:val="000000" w:themeColor="text1"/>
          <w:lang w:val="en-GB"/>
        </w:rPr>
        <w:t xml:space="preserve"> (</w:t>
      </w:r>
      <w:bookmarkStart w:id="4" w:name="_Hlk180708377"/>
      <w:r w:rsidRPr="008C1EAE">
        <w:rPr>
          <w:rFonts w:ascii="Times New Roman" w:hAnsi="Times New Roman" w:cs="Times New Roman"/>
          <w:color w:val="000000" w:themeColor="text1"/>
          <w:lang w:val="en-GB"/>
        </w:rPr>
        <w:t>Acces</w:t>
      </w:r>
      <w:r w:rsidR="0000609E" w:rsidRPr="008C1EAE">
        <w:rPr>
          <w:rFonts w:ascii="Times New Roman" w:hAnsi="Times New Roman" w:cs="Times New Roman"/>
          <w:color w:val="000000" w:themeColor="text1"/>
          <w:lang w:val="en-GB"/>
        </w:rPr>
        <w:t>s</w:t>
      </w:r>
      <w:r w:rsidRPr="008C1EAE">
        <w:rPr>
          <w:rFonts w:ascii="Times New Roman" w:hAnsi="Times New Roman" w:cs="Times New Roman"/>
          <w:color w:val="000000" w:themeColor="text1"/>
          <w:lang w:val="en-GB"/>
        </w:rPr>
        <w:t>ed: 23.10.2024</w:t>
      </w:r>
      <w:bookmarkEnd w:id="4"/>
      <w:r w:rsidRPr="008C1EAE">
        <w:rPr>
          <w:rFonts w:ascii="Times New Roman" w:hAnsi="Times New Roman" w:cs="Times New Roman"/>
          <w:color w:val="000000" w:themeColor="text1"/>
          <w:lang w:val="en-GB"/>
        </w:rPr>
        <w:t>)</w:t>
      </w:r>
      <w:r w:rsidR="000666CF" w:rsidRPr="008C1EAE">
        <w:rPr>
          <w:rFonts w:ascii="Times New Roman" w:hAnsi="Times New Roman" w:cs="Times New Roman"/>
          <w:color w:val="000000" w:themeColor="text1"/>
          <w:lang w:val="en-GB"/>
        </w:rPr>
        <w:t>.</w:t>
      </w:r>
    </w:p>
    <w:p w14:paraId="43C8F119" w14:textId="14B3386D" w:rsidR="00BE5454" w:rsidRPr="008C1EAE" w:rsidRDefault="00BE5454" w:rsidP="00AE11B5">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it-IT"/>
        </w:rPr>
        <w:t xml:space="preserve">Chandler, E., Ignagni, E., &amp; Collins, K. (2021). </w:t>
      </w:r>
      <w:r w:rsidRPr="008C1EAE">
        <w:rPr>
          <w:rFonts w:ascii="Times New Roman" w:hAnsi="Times New Roman" w:cs="Times New Roman"/>
          <w:color w:val="000000" w:themeColor="text1"/>
          <w:lang w:val="en-GB"/>
        </w:rPr>
        <w:t>Communicating access, accessing</w:t>
      </w:r>
      <w:r w:rsidR="003036C6" w:rsidRPr="008C1EAE">
        <w:rPr>
          <w:rFonts w:ascii="Times New Roman" w:hAnsi="Times New Roman" w:cs="Times New Roman"/>
          <w:color w:val="000000" w:themeColor="text1"/>
          <w:lang w:val="en-GB"/>
        </w:rPr>
        <w:t xml:space="preserve"> </w:t>
      </w:r>
      <w:r w:rsidRPr="008C1EAE">
        <w:rPr>
          <w:rFonts w:ascii="Times New Roman" w:hAnsi="Times New Roman" w:cs="Times New Roman"/>
          <w:color w:val="000000" w:themeColor="text1"/>
          <w:lang w:val="en-GB"/>
        </w:rPr>
        <w:t>communication. Studies in Social Justice, 15(2), 230-238.</w:t>
      </w:r>
      <w:r w:rsidRPr="008C1EAE">
        <w:rPr>
          <w:lang w:val="en-GB"/>
        </w:rPr>
        <w:t xml:space="preserve"> </w:t>
      </w:r>
      <w:hyperlink r:id="rId37" w:history="1">
        <w:r w:rsidRPr="008C1EAE">
          <w:rPr>
            <w:rStyle w:val="Hipervnculo"/>
            <w:rFonts w:ascii="Times New Roman" w:hAnsi="Times New Roman" w:cs="Times New Roman"/>
            <w:lang w:val="es"/>
          </w:rPr>
          <w:t>https://doi.org/10.26522/ssj.v15i2.2657</w:t>
        </w:r>
      </w:hyperlink>
      <w:r w:rsidRPr="008C1EAE">
        <w:rPr>
          <w:rFonts w:ascii="Times New Roman" w:hAnsi="Times New Roman" w:cs="Times New Roman"/>
          <w:color w:val="000000" w:themeColor="text1"/>
          <w:lang w:val="es"/>
        </w:rPr>
        <w:t>.</w:t>
      </w:r>
    </w:p>
    <w:p w14:paraId="0ED61930" w14:textId="3A8867F8" w:rsidR="00392C41" w:rsidRPr="008C1EAE" w:rsidRDefault="00392C41" w:rsidP="00392C41">
      <w:pPr>
        <w:pStyle w:val="Prrafodelista"/>
        <w:numPr>
          <w:ilvl w:val="0"/>
          <w:numId w:val="1"/>
        </w:numPr>
        <w:ind w:left="426" w:hanging="426"/>
        <w:jc w:val="both"/>
        <w:rPr>
          <w:rFonts w:ascii="Times New Roman" w:hAnsi="Times New Roman" w:cs="Times New Roman"/>
          <w:color w:val="000000" w:themeColor="text1"/>
          <w:lang w:val="en-GB"/>
        </w:rPr>
      </w:pPr>
      <w:hyperlink r:id="rId38" w:history="1">
        <w:r w:rsidRPr="008C1EAE">
          <w:rPr>
            <w:rStyle w:val="Hipervnculo"/>
            <w:rFonts w:ascii="Times New Roman" w:hAnsi="Times New Roman" w:cs="Times New Roman"/>
            <w:lang w:val="en-GB"/>
          </w:rPr>
          <w:t>https://www.oed.com/search/dictionary</w:t>
        </w:r>
      </w:hyperlink>
    </w:p>
    <w:p w14:paraId="4690F664" w14:textId="77777777" w:rsidR="00392C41" w:rsidRPr="008C1EAE" w:rsidRDefault="00392C41" w:rsidP="00392C41">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Trevithick, PA. (2000). Social Work Skills: A Practice Handbook. </w:t>
      </w:r>
      <w:r w:rsidRPr="008C1EAE">
        <w:rPr>
          <w:rFonts w:ascii="Times New Roman" w:hAnsi="Times New Roman" w:cs="Times New Roman"/>
          <w:color w:val="000000" w:themeColor="text1"/>
          <w:lang w:val="es"/>
        </w:rPr>
        <w:t>Open University Press.</w:t>
      </w:r>
    </w:p>
    <w:p w14:paraId="42493DC2" w14:textId="5F2A7E35" w:rsidR="000666CF" w:rsidRPr="008C1EAE" w:rsidRDefault="000666CF" w:rsidP="00392C41">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World Health Organisation (2011). World Report on Disability 2011.</w:t>
      </w:r>
      <w:r w:rsidRPr="008C1EAE">
        <w:rPr>
          <w:lang w:val="en-GB"/>
        </w:rPr>
        <w:t xml:space="preserve"> </w:t>
      </w:r>
      <w:hyperlink r:id="rId39" w:history="1">
        <w:r w:rsidRPr="008C1EAE">
          <w:rPr>
            <w:rStyle w:val="Hipervnculo"/>
            <w:rFonts w:ascii="Times New Roman" w:hAnsi="Times New Roman" w:cs="Times New Roman"/>
          </w:rPr>
          <w:t>https://www.who.int/teams/noncommunicable-diseases/sensory-functions-disability-and-rehabilitation/world-report-on-disability</w:t>
        </w:r>
      </w:hyperlink>
      <w:r w:rsidRPr="008C1EAE">
        <w:rPr>
          <w:rFonts w:ascii="Times New Roman" w:hAnsi="Times New Roman" w:cs="Times New Roman"/>
          <w:color w:val="000000" w:themeColor="text1"/>
        </w:rPr>
        <w:t xml:space="preserve">. </w:t>
      </w:r>
      <w:r w:rsidRPr="008C1EAE">
        <w:rPr>
          <w:rFonts w:ascii="Times New Roman" w:hAnsi="Times New Roman" w:cs="Times New Roman"/>
          <w:color w:val="000000" w:themeColor="text1"/>
          <w:lang w:val="es"/>
        </w:rPr>
        <w:t>(Acce</w:t>
      </w:r>
      <w:r w:rsidR="0000609E" w:rsidRPr="008C1EAE">
        <w:rPr>
          <w:rFonts w:ascii="Times New Roman" w:hAnsi="Times New Roman" w:cs="Times New Roman"/>
          <w:color w:val="000000" w:themeColor="text1"/>
          <w:lang w:val="es"/>
        </w:rPr>
        <w:t>s</w:t>
      </w:r>
      <w:r w:rsidRPr="008C1EAE">
        <w:rPr>
          <w:rFonts w:ascii="Times New Roman" w:hAnsi="Times New Roman" w:cs="Times New Roman"/>
          <w:color w:val="000000" w:themeColor="text1"/>
          <w:lang w:val="es"/>
        </w:rPr>
        <w:t>sed: 23.10.2024).</w:t>
      </w:r>
    </w:p>
    <w:p w14:paraId="39E51A01" w14:textId="1E1D253E" w:rsidR="00B6198C" w:rsidRPr="008C1EAE" w:rsidRDefault="00B6198C" w:rsidP="00AE2113">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What is transdisciplinary research, Utrecht University. </w:t>
      </w:r>
      <w:hyperlink r:id="rId40" w:history="1">
        <w:r w:rsidRPr="008C1EAE">
          <w:rPr>
            <w:rStyle w:val="Hipervnculo"/>
            <w:rFonts w:ascii="Times New Roman" w:hAnsi="Times New Roman" w:cs="Times New Roman"/>
            <w:lang w:val="en-GB"/>
          </w:rPr>
          <w:t>https://www.uu.nl/en/research/transdisciplinary-field-guide/get-started/what-is-transdisciplinary-research</w:t>
        </w:r>
      </w:hyperlink>
      <w:r w:rsidRPr="008C1EAE">
        <w:rPr>
          <w:rFonts w:ascii="Times New Roman" w:hAnsi="Times New Roman" w:cs="Times New Roman"/>
          <w:color w:val="000000" w:themeColor="text1"/>
          <w:lang w:val="en-GB"/>
        </w:rPr>
        <w:t xml:space="preserve"> (Acce</w:t>
      </w:r>
      <w:r w:rsidR="0000609E" w:rsidRPr="008C1EAE">
        <w:rPr>
          <w:rFonts w:ascii="Times New Roman" w:hAnsi="Times New Roman" w:cs="Times New Roman"/>
          <w:color w:val="000000" w:themeColor="text1"/>
          <w:lang w:val="en-GB"/>
        </w:rPr>
        <w:t>s</w:t>
      </w:r>
      <w:r w:rsidRPr="008C1EAE">
        <w:rPr>
          <w:rFonts w:ascii="Times New Roman" w:hAnsi="Times New Roman" w:cs="Times New Roman"/>
          <w:color w:val="000000" w:themeColor="text1"/>
          <w:lang w:val="en-GB"/>
        </w:rPr>
        <w:t>sed: 23.10.2024).</w:t>
      </w:r>
    </w:p>
    <w:p w14:paraId="65A56D86" w14:textId="42BF246C" w:rsidR="00AE2113" w:rsidRPr="008C1EAE" w:rsidRDefault="003036C6" w:rsidP="00AE2113">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Newell, W. H. (2001). A Theory of Interdisciplinary Studies. Issues in Integrative Studies, 19, 1-24.</w:t>
      </w:r>
      <w:r w:rsidRPr="008C1EAE">
        <w:rPr>
          <w:lang w:val="en-GB"/>
        </w:rPr>
        <w:t xml:space="preserve"> </w:t>
      </w:r>
      <w:hyperlink r:id="rId41" w:history="1">
        <w:r w:rsidRPr="008C1EAE">
          <w:rPr>
            <w:rStyle w:val="Hipervnculo"/>
            <w:rFonts w:ascii="Times New Roman" w:hAnsi="Times New Roman" w:cs="Times New Roman"/>
            <w:lang w:val="en-GB"/>
          </w:rPr>
          <w:t>https://web.mit.edu/jrankin/www/interdisciplinary/interdisc_Newell.pdf</w:t>
        </w:r>
      </w:hyperlink>
      <w:r w:rsidRPr="008C1EAE">
        <w:rPr>
          <w:rFonts w:ascii="Times New Roman" w:hAnsi="Times New Roman" w:cs="Times New Roman"/>
          <w:color w:val="000000" w:themeColor="text1"/>
          <w:lang w:val="en-GB"/>
        </w:rPr>
        <w:t>.</w:t>
      </w:r>
    </w:p>
    <w:p w14:paraId="531C33A4" w14:textId="1CC3CBA1" w:rsidR="003036C6" w:rsidRPr="008C1EAE" w:rsidRDefault="00AE2113" w:rsidP="00AE2113">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Resh, H.M. and Howard, M. (2012)</w:t>
      </w:r>
      <w:r w:rsidR="00430B8F" w:rsidRPr="008C1EAE">
        <w:rPr>
          <w:rFonts w:ascii="Times New Roman" w:hAnsi="Times New Roman" w:cs="Times New Roman"/>
          <w:color w:val="000000" w:themeColor="text1"/>
          <w:lang w:val="en-GB"/>
        </w:rPr>
        <w:t>.</w:t>
      </w:r>
      <w:r w:rsidRPr="008C1EAE">
        <w:rPr>
          <w:rFonts w:ascii="Times New Roman" w:hAnsi="Times New Roman" w:cs="Times New Roman"/>
          <w:color w:val="000000" w:themeColor="text1"/>
          <w:lang w:val="en-GB"/>
        </w:rPr>
        <w:t xml:space="preserve"> Hydroponic Food Production: A Definitive Guidebook for the Advanced Home Gardener and the Commercial Hydroponic Grower. </w:t>
      </w:r>
      <w:r w:rsidRPr="008C1EAE">
        <w:rPr>
          <w:rFonts w:ascii="Times New Roman" w:hAnsi="Times New Roman" w:cs="Times New Roman"/>
          <w:color w:val="000000" w:themeColor="text1"/>
          <w:lang w:val="es"/>
        </w:rPr>
        <w:t>CRC Press, Santa Barbara, California.</w:t>
      </w:r>
      <w:r w:rsidR="00430B8F" w:rsidRPr="008C1EAE">
        <w:rPr>
          <w:rFonts w:ascii="Times New Roman" w:hAnsi="Times New Roman" w:cs="Times New Roman"/>
          <w:color w:val="000000" w:themeColor="text1"/>
          <w:lang w:val="es"/>
        </w:rPr>
        <w:t xml:space="preserve"> DOI: </w:t>
      </w:r>
      <w:hyperlink r:id="rId42" w:history="1">
        <w:r w:rsidR="00430B8F" w:rsidRPr="008C1EAE">
          <w:rPr>
            <w:rStyle w:val="Hipervnculo"/>
            <w:rFonts w:ascii="Times New Roman" w:hAnsi="Times New Roman" w:cs="Times New Roman"/>
            <w:lang w:val="es"/>
          </w:rPr>
          <w:t>http://dx.doi.org/10.1201/b12500</w:t>
        </w:r>
      </w:hyperlink>
      <w:r w:rsidR="00430B8F" w:rsidRPr="008C1EAE">
        <w:rPr>
          <w:rFonts w:ascii="Times New Roman" w:hAnsi="Times New Roman" w:cs="Times New Roman"/>
          <w:color w:val="000000" w:themeColor="text1"/>
          <w:lang w:val="es"/>
        </w:rPr>
        <w:t>.</w:t>
      </w:r>
    </w:p>
    <w:p w14:paraId="711FCFB3" w14:textId="1DB56EC7" w:rsidR="00BD4C94" w:rsidRPr="008C1EAE" w:rsidRDefault="00B43EA9" w:rsidP="00BD4C94">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Adriano, D. C. (2001). Trace Elements in Terrestrial Environments: Biogeochemistry, Bioavailability, and Risks of Metals. </w:t>
      </w:r>
      <w:r w:rsidRPr="008C1EAE">
        <w:rPr>
          <w:rFonts w:ascii="Times New Roman" w:hAnsi="Times New Roman" w:cs="Times New Roman"/>
          <w:color w:val="000000" w:themeColor="text1"/>
          <w:lang w:val="es"/>
        </w:rPr>
        <w:t>Springer.</w:t>
      </w:r>
    </w:p>
    <w:p w14:paraId="7BF5F264" w14:textId="54678D14" w:rsidR="00DB0D05" w:rsidRPr="008C1EAE" w:rsidRDefault="00BD4C94" w:rsidP="00BD4C94">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Gupta, P.K., Goel, M. (2021). Environmental Tracers and Isotopic Techniques: Tools for Sustainable Water Management. In: Adhikary, P.P., Shit, P.K., Santra, P., Bhunia, G.S., Tiwari, A.K., Chaudhary, B.S. (eds) Geostatistics and Geospatial Technologies for Groundwater Resources in India. </w:t>
      </w:r>
      <w:r w:rsidRPr="008C1EAE">
        <w:rPr>
          <w:rFonts w:ascii="Times New Roman" w:hAnsi="Times New Roman" w:cs="Times New Roman"/>
          <w:color w:val="000000" w:themeColor="text1"/>
          <w:lang w:val="es"/>
        </w:rPr>
        <w:t xml:space="preserve">Springer Hydrogeology. Springer, Cham. </w:t>
      </w:r>
      <w:hyperlink r:id="rId43" w:history="1">
        <w:r w:rsidRPr="008C1EAE">
          <w:rPr>
            <w:rStyle w:val="Hipervnculo"/>
            <w:rFonts w:ascii="Times New Roman" w:hAnsi="Times New Roman" w:cs="Times New Roman"/>
            <w:lang w:val="es"/>
          </w:rPr>
          <w:t>https://doi.org/10.1007/978-3-030-62397-5_26</w:t>
        </w:r>
      </w:hyperlink>
      <w:r w:rsidRPr="008C1EAE">
        <w:rPr>
          <w:rFonts w:ascii="Times New Roman" w:hAnsi="Times New Roman" w:cs="Times New Roman"/>
          <w:color w:val="000000" w:themeColor="text1"/>
          <w:lang w:val="es"/>
        </w:rPr>
        <w:t>.</w:t>
      </w:r>
    </w:p>
    <w:p w14:paraId="66A2EBC2" w14:textId="6CFCFA24" w:rsidR="0039340A" w:rsidRPr="008C1EAE" w:rsidRDefault="009F6001" w:rsidP="0039340A">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Scholz, R.W. (2020). Transdisciplinarity: science for and with society in light of the university’s roles and functions. </w:t>
      </w:r>
      <w:r w:rsidRPr="008C1EAE">
        <w:rPr>
          <w:rFonts w:ascii="Times New Roman" w:hAnsi="Times New Roman" w:cs="Times New Roman"/>
          <w:color w:val="000000" w:themeColor="text1"/>
          <w:lang w:val="es"/>
        </w:rPr>
        <w:t xml:space="preserve">Sustain Sci 15, 1033–1049.DOI: </w:t>
      </w:r>
      <w:hyperlink r:id="rId44" w:history="1">
        <w:r w:rsidRPr="008C1EAE">
          <w:rPr>
            <w:rStyle w:val="Hipervnculo"/>
            <w:rFonts w:ascii="Times New Roman" w:hAnsi="Times New Roman" w:cs="Times New Roman"/>
            <w:lang w:val="es"/>
          </w:rPr>
          <w:t>https://doi.org/10.1007/s11625-020-00794-x</w:t>
        </w:r>
      </w:hyperlink>
      <w:r w:rsidRPr="008C1EAE">
        <w:rPr>
          <w:rFonts w:ascii="Times New Roman" w:hAnsi="Times New Roman" w:cs="Times New Roman"/>
          <w:color w:val="000000" w:themeColor="text1"/>
          <w:lang w:val="es"/>
        </w:rPr>
        <w:t>.</w:t>
      </w:r>
    </w:p>
    <w:p w14:paraId="7A8BC84A" w14:textId="401531A9" w:rsidR="0039340A" w:rsidRPr="008C1EAE" w:rsidRDefault="0039340A" w:rsidP="0039340A">
      <w:pPr>
        <w:pStyle w:val="Prrafodelista"/>
        <w:numPr>
          <w:ilvl w:val="0"/>
          <w:numId w:val="1"/>
        </w:numPr>
        <w:ind w:left="426" w:hanging="426"/>
        <w:jc w:val="both"/>
        <w:rPr>
          <w:rFonts w:ascii="Times New Roman" w:hAnsi="Times New Roman" w:cs="Times New Roman"/>
          <w:color w:val="000000" w:themeColor="text1"/>
          <w:lang w:val="pt-BR"/>
        </w:rPr>
      </w:pPr>
      <w:r w:rsidRPr="008C1EAE">
        <w:rPr>
          <w:rFonts w:ascii="Times New Roman" w:hAnsi="Times New Roman" w:cs="Times New Roman"/>
          <w:color w:val="000000" w:themeColor="text1"/>
          <w:lang w:val="en-GB"/>
        </w:rPr>
        <w:t xml:space="preserve">Solomon, G.E., Carley, S., Porter, A.L. (2016) How Multidisciplinary Are the Multidisciplinary Journals Science and Nature? </w:t>
      </w:r>
      <w:r w:rsidRPr="008C1EAE">
        <w:rPr>
          <w:rFonts w:ascii="Times New Roman" w:hAnsi="Times New Roman" w:cs="Times New Roman"/>
          <w:color w:val="000000" w:themeColor="text1"/>
          <w:lang w:val="pt-BR"/>
        </w:rPr>
        <w:t xml:space="preserve">PLoS One. Apr 4;11(4):e0152637. DOI: </w:t>
      </w:r>
      <w:hyperlink r:id="rId45" w:history="1">
        <w:r w:rsidRPr="008C1EAE">
          <w:rPr>
            <w:rStyle w:val="Hipervnculo"/>
            <w:rFonts w:ascii="Times New Roman" w:hAnsi="Times New Roman" w:cs="Times New Roman"/>
            <w:lang w:val="pt-BR"/>
          </w:rPr>
          <w:t>https://doi.org/10.1371/journal.pone.0152637</w:t>
        </w:r>
      </w:hyperlink>
      <w:r w:rsidRPr="008C1EAE">
        <w:rPr>
          <w:rFonts w:ascii="Times New Roman" w:hAnsi="Times New Roman" w:cs="Times New Roman"/>
          <w:color w:val="000000" w:themeColor="text1"/>
          <w:lang w:val="pt-BR"/>
        </w:rPr>
        <w:t>.</w:t>
      </w:r>
    </w:p>
    <w:p w14:paraId="3F05DC8B" w14:textId="0E1FED4A" w:rsidR="00A80812" w:rsidRPr="008C1EAE" w:rsidRDefault="00A80812" w:rsidP="3C5DB29E">
      <w:pPr>
        <w:pStyle w:val="Prrafodelista"/>
        <w:numPr>
          <w:ilvl w:val="0"/>
          <w:numId w:val="1"/>
        </w:numPr>
        <w:ind w:left="426" w:hanging="426"/>
        <w:jc w:val="both"/>
        <w:rPr>
          <w:rFonts w:ascii="Times New Roman" w:hAnsi="Times New Roman" w:cs="Times New Roman"/>
          <w:color w:val="000000" w:themeColor="text1"/>
        </w:rPr>
      </w:pPr>
      <w:r w:rsidRPr="008C1EAE">
        <w:rPr>
          <w:rFonts w:ascii="Times New Roman" w:hAnsi="Times New Roman" w:cs="Times New Roman"/>
          <w:color w:val="545454"/>
          <w:shd w:val="clear" w:color="auto" w:fill="FFFFFF"/>
          <w:lang w:val="en-GB"/>
        </w:rPr>
        <w:lastRenderedPageBreak/>
        <w:t xml:space="preserve">FAO. </w:t>
      </w:r>
      <w:r w:rsidR="00AC40AC" w:rsidRPr="008C1EAE">
        <w:rPr>
          <w:rFonts w:ascii="Times New Roman" w:hAnsi="Times New Roman" w:cs="Times New Roman"/>
          <w:color w:val="545454"/>
          <w:shd w:val="clear" w:color="auto" w:fill="FFFFFF"/>
          <w:lang w:val="en-GB"/>
        </w:rPr>
        <w:t>(</w:t>
      </w:r>
      <w:r w:rsidRPr="008C1EAE">
        <w:rPr>
          <w:rFonts w:ascii="Times New Roman" w:hAnsi="Times New Roman" w:cs="Times New Roman"/>
          <w:color w:val="545454"/>
          <w:shd w:val="clear" w:color="auto" w:fill="FFFFFF"/>
          <w:lang w:val="en-GB"/>
        </w:rPr>
        <w:t>2021</w:t>
      </w:r>
      <w:r w:rsidR="00AC40AC" w:rsidRPr="008C1EAE">
        <w:rPr>
          <w:rFonts w:ascii="Times New Roman" w:hAnsi="Times New Roman" w:cs="Times New Roman"/>
          <w:color w:val="545454"/>
          <w:shd w:val="clear" w:color="auto" w:fill="FFFFFF"/>
          <w:lang w:val="en-GB"/>
        </w:rPr>
        <w:t>)</w:t>
      </w:r>
      <w:r w:rsidRPr="008C1EAE">
        <w:rPr>
          <w:rFonts w:ascii="Times New Roman" w:hAnsi="Times New Roman" w:cs="Times New Roman"/>
          <w:color w:val="545454"/>
          <w:shd w:val="clear" w:color="auto" w:fill="FFFFFF"/>
          <w:lang w:val="en-GB"/>
        </w:rPr>
        <w:t>. </w:t>
      </w:r>
      <w:r w:rsidRPr="008C1EAE">
        <w:rPr>
          <w:rStyle w:val="nfasis"/>
          <w:rFonts w:ascii="Times New Roman" w:hAnsi="Times New Roman" w:cs="Times New Roman"/>
          <w:i w:val="0"/>
          <w:iCs w:val="0"/>
          <w:color w:val="545454"/>
          <w:shd w:val="clear" w:color="auto" w:fill="FFFFFF"/>
          <w:lang w:val="en-GB"/>
        </w:rPr>
        <w:t>The State of Food and Agriculture 2021. Making agrifood systems more resilient to shocks and stresses</w:t>
      </w:r>
      <w:r w:rsidRPr="008C1EAE">
        <w:rPr>
          <w:rFonts w:ascii="Times New Roman" w:hAnsi="Times New Roman" w:cs="Times New Roman"/>
          <w:color w:val="545454"/>
          <w:shd w:val="clear" w:color="auto" w:fill="FFFFFF"/>
          <w:lang w:val="en-GB"/>
        </w:rPr>
        <w:t xml:space="preserve">. </w:t>
      </w:r>
      <w:r w:rsidRPr="008C1EAE">
        <w:rPr>
          <w:rFonts w:ascii="Times New Roman" w:hAnsi="Times New Roman" w:cs="Times New Roman"/>
          <w:color w:val="545454"/>
          <w:shd w:val="clear" w:color="auto" w:fill="FFFFFF"/>
        </w:rPr>
        <w:t>Rome, FAO.</w:t>
      </w:r>
      <w:r w:rsidRPr="008C1EAE">
        <w:rPr>
          <w:rFonts w:ascii="Times New Roman" w:hAnsi="Times New Roman" w:cs="Times New Roman"/>
        </w:rPr>
        <w:t xml:space="preserve"> </w:t>
      </w:r>
      <w:r w:rsidR="00AC40AC" w:rsidRPr="008C1EAE">
        <w:rPr>
          <w:rFonts w:ascii="Times New Roman" w:hAnsi="Times New Roman" w:cs="Times New Roman"/>
        </w:rPr>
        <w:t xml:space="preserve">DOI: </w:t>
      </w:r>
      <w:hyperlink r:id="rId46" w:history="1">
        <w:r w:rsidR="00AC40AC" w:rsidRPr="008C1EAE">
          <w:rPr>
            <w:rStyle w:val="Hipervnculo"/>
            <w:rFonts w:ascii="Times New Roman" w:hAnsi="Times New Roman" w:cs="Times New Roman"/>
          </w:rPr>
          <w:t>https://doi.org/10.4060/cb4476en</w:t>
        </w:r>
      </w:hyperlink>
      <w:r w:rsidRPr="008C1EAE">
        <w:rPr>
          <w:rFonts w:ascii="Times New Roman" w:hAnsi="Times New Roman" w:cs="Times New Roman"/>
          <w:color w:val="545454"/>
          <w:shd w:val="clear" w:color="auto" w:fill="FFFFFF"/>
        </w:rPr>
        <w:t>.</w:t>
      </w:r>
    </w:p>
    <w:p w14:paraId="26DF7967" w14:textId="6B043898" w:rsidR="00A80812" w:rsidRPr="008C1EAE" w:rsidRDefault="00AC40AC" w:rsidP="0039340A">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United Nations. 2020. Global Biodiversity Outlook 5. Montreal: Secretariat of the Convention on Biological Diversity. </w:t>
      </w:r>
      <w:r w:rsidRPr="008C1EAE">
        <w:rPr>
          <w:rFonts w:ascii="Times New Roman" w:hAnsi="Times New Roman" w:cs="Times New Roman"/>
          <w:color w:val="000000" w:themeColor="text1"/>
          <w:lang w:val="es"/>
        </w:rPr>
        <w:t xml:space="preserve">Available at </w:t>
      </w:r>
      <w:hyperlink r:id="rId47" w:history="1">
        <w:r w:rsidR="006A5BAB" w:rsidRPr="008C1EAE">
          <w:rPr>
            <w:rStyle w:val="Hipervnculo"/>
            <w:rFonts w:ascii="Times New Roman" w:hAnsi="Times New Roman" w:cs="Times New Roman"/>
            <w:lang w:val="es"/>
          </w:rPr>
          <w:t>https://www.cbd.int/gbo5</w:t>
        </w:r>
      </w:hyperlink>
      <w:r w:rsidRPr="008C1EAE">
        <w:rPr>
          <w:rFonts w:ascii="Times New Roman" w:hAnsi="Times New Roman" w:cs="Times New Roman"/>
          <w:color w:val="000000" w:themeColor="text1"/>
          <w:lang w:val="es"/>
        </w:rPr>
        <w:t>.</w:t>
      </w:r>
    </w:p>
    <w:p w14:paraId="1CE6EA02" w14:textId="77777777" w:rsidR="00C6663B" w:rsidRPr="008C1EAE" w:rsidRDefault="006A5BAB" w:rsidP="00C6663B">
      <w:pPr>
        <w:pStyle w:val="Prrafodelista"/>
        <w:numPr>
          <w:ilvl w:val="0"/>
          <w:numId w:val="1"/>
        </w:numPr>
        <w:ind w:left="426" w:hanging="426"/>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Lal, R. (2004). Soil Carbon Sequestration Impacts on Global Climate Change and Food Security. </w:t>
      </w:r>
      <w:r w:rsidRPr="008C1EAE">
        <w:rPr>
          <w:rFonts w:ascii="Times New Roman" w:hAnsi="Times New Roman" w:cs="Times New Roman"/>
          <w:color w:val="000000" w:themeColor="text1"/>
          <w:lang w:val="es"/>
        </w:rPr>
        <w:t xml:space="preserve">Science, 304(5677), 1623–1627. DOI: </w:t>
      </w:r>
      <w:hyperlink r:id="rId48" w:history="1">
        <w:r w:rsidRPr="008C1EAE">
          <w:rPr>
            <w:rStyle w:val="Hipervnculo"/>
            <w:rFonts w:ascii="Times New Roman" w:hAnsi="Times New Roman" w:cs="Times New Roman"/>
            <w:lang w:val="es"/>
          </w:rPr>
          <w:t>https://doi.org/10.1126/science.1097396</w:t>
        </w:r>
      </w:hyperlink>
      <w:r w:rsidRPr="008C1EAE">
        <w:rPr>
          <w:rFonts w:ascii="Times New Roman" w:hAnsi="Times New Roman" w:cs="Times New Roman"/>
          <w:color w:val="000000" w:themeColor="text1"/>
          <w:lang w:val="es"/>
        </w:rPr>
        <w:t>.</w:t>
      </w:r>
    </w:p>
    <w:p w14:paraId="36707C5B" w14:textId="79DEF3C4" w:rsidR="00E410A6" w:rsidRPr="008C1EAE" w:rsidRDefault="00E410A6" w:rsidP="3C5DB29E">
      <w:pPr>
        <w:pStyle w:val="Prrafodelista"/>
        <w:numPr>
          <w:ilvl w:val="0"/>
          <w:numId w:val="1"/>
        </w:numPr>
        <w:ind w:left="426" w:hanging="426"/>
        <w:jc w:val="both"/>
        <w:rPr>
          <w:rFonts w:ascii="Times New Roman" w:hAnsi="Times New Roman" w:cs="Times New Roman"/>
          <w:color w:val="000000" w:themeColor="text1"/>
        </w:rPr>
      </w:pPr>
      <w:r w:rsidRPr="008C1EAE">
        <w:rPr>
          <w:rFonts w:ascii="Times New Roman" w:hAnsi="Times New Roman" w:cs="Times New Roman"/>
          <w:color w:val="333333"/>
          <w:shd w:val="clear" w:color="auto" w:fill="EAEAEA"/>
          <w:lang w:val="en-GB"/>
        </w:rPr>
        <w:t xml:space="preserve">Lal, R. (2020). Regenerative agriculture for food and climate. Journal of Soil and Water Conservation, 75(5), 123A-124A. </w:t>
      </w:r>
      <w:r w:rsidRPr="008C1EAE">
        <w:rPr>
          <w:rFonts w:ascii="Times New Roman" w:hAnsi="Times New Roman" w:cs="Times New Roman"/>
          <w:color w:val="333333"/>
          <w:shd w:val="clear" w:color="auto" w:fill="EAEAEA"/>
        </w:rPr>
        <w:t xml:space="preserve">DOI: </w:t>
      </w:r>
      <w:hyperlink r:id="rId49" w:history="1">
        <w:r w:rsidRPr="008C1EAE">
          <w:rPr>
            <w:rStyle w:val="Hipervnculo"/>
            <w:rFonts w:ascii="Times New Roman" w:hAnsi="Times New Roman" w:cs="Times New Roman"/>
          </w:rPr>
          <w:t>https://doi.org/10.2489/jswc.2020.0620A</w:t>
        </w:r>
      </w:hyperlink>
      <w:r w:rsidRPr="008C1EAE">
        <w:rPr>
          <w:rFonts w:ascii="Times New Roman" w:hAnsi="Times New Roman" w:cs="Times New Roman"/>
          <w:color w:val="333333"/>
          <w:shd w:val="clear" w:color="auto" w:fill="EAEAEA"/>
        </w:rPr>
        <w:t>.</w:t>
      </w:r>
    </w:p>
    <w:p w14:paraId="51C3DF7E" w14:textId="2EC28634" w:rsidR="00D3385E" w:rsidRPr="008C1EAE" w:rsidRDefault="00D3385E" w:rsidP="00D3385E">
      <w:pPr>
        <w:pStyle w:val="Prrafodelista"/>
        <w:numPr>
          <w:ilvl w:val="0"/>
          <w:numId w:val="1"/>
        </w:numPr>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rPr>
        <w:t xml:space="preserve">Chadwick, D., Sommer, S., Thorman, R., Fangueiro, D., Cardenas, L., Amon, B., Misselbrook, T. (2011). Manure management: Implications for greenhouse gas emissions. </w:t>
      </w:r>
      <w:r w:rsidRPr="008C1EAE">
        <w:rPr>
          <w:rFonts w:ascii="Times New Roman" w:hAnsi="Times New Roman" w:cs="Times New Roman"/>
          <w:color w:val="000000" w:themeColor="text1"/>
          <w:lang w:val="en-GB"/>
        </w:rPr>
        <w:t xml:space="preserve">Animal Feed Science and Technology, vol. 166–167, pp. 514-531. DOI: </w:t>
      </w:r>
      <w:hyperlink r:id="rId50" w:history="1">
        <w:r w:rsidR="00F566FE" w:rsidRPr="008C1EAE">
          <w:rPr>
            <w:rStyle w:val="Hipervnculo"/>
            <w:rFonts w:ascii="Times New Roman" w:hAnsi="Times New Roman" w:cs="Times New Roman"/>
            <w:lang w:val="en-GB"/>
          </w:rPr>
          <w:t>https://doi.org/10.1016/j.anifeedsci.2011.04.036</w:t>
        </w:r>
      </w:hyperlink>
      <w:r w:rsidRPr="008C1EAE">
        <w:rPr>
          <w:rFonts w:ascii="Times New Roman" w:hAnsi="Times New Roman" w:cs="Times New Roman"/>
          <w:color w:val="000000" w:themeColor="text1"/>
          <w:lang w:val="en-GB"/>
        </w:rPr>
        <w:t>.</w:t>
      </w:r>
    </w:p>
    <w:p w14:paraId="1B6567A1" w14:textId="22A73BBB" w:rsidR="007331F3" w:rsidRPr="008C1EAE" w:rsidRDefault="00F566FE" w:rsidP="00D3385E">
      <w:pPr>
        <w:pStyle w:val="Prrafodelista"/>
        <w:numPr>
          <w:ilvl w:val="0"/>
          <w:numId w:val="1"/>
        </w:numPr>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 xml:space="preserve">Millennium Ecosystem Assessment (MEA). (2005). Ecosystems and Human Well-being: Synthesis. Washington, DC: Island Press, </w:t>
      </w:r>
      <w:r w:rsidR="0000609E" w:rsidRPr="008C1EAE">
        <w:rPr>
          <w:rFonts w:ascii="Times New Roman" w:hAnsi="Times New Roman" w:cs="Times New Roman"/>
          <w:color w:val="000000" w:themeColor="text1"/>
          <w:lang w:val="en-GB"/>
        </w:rPr>
        <w:t>Available</w:t>
      </w:r>
      <w:r w:rsidRPr="008C1EAE">
        <w:rPr>
          <w:rFonts w:ascii="Times New Roman" w:hAnsi="Times New Roman" w:cs="Times New Roman"/>
          <w:color w:val="000000" w:themeColor="text1"/>
          <w:lang w:val="en-GB"/>
        </w:rPr>
        <w:t xml:space="preserve"> at </w:t>
      </w:r>
      <w:hyperlink r:id="rId51" w:history="1">
        <w:r w:rsidR="007331F3" w:rsidRPr="008C1EAE">
          <w:rPr>
            <w:rStyle w:val="Hipervnculo"/>
            <w:rFonts w:ascii="Times New Roman" w:hAnsi="Times New Roman" w:cs="Times New Roman"/>
            <w:lang w:val="en-GB"/>
          </w:rPr>
          <w:t>https://www.millenniumassessment.org</w:t>
        </w:r>
      </w:hyperlink>
      <w:r w:rsidR="007331F3" w:rsidRPr="008C1EAE">
        <w:rPr>
          <w:rFonts w:ascii="Times New Roman" w:hAnsi="Times New Roman" w:cs="Times New Roman"/>
          <w:color w:val="000000" w:themeColor="text1"/>
          <w:lang w:val="en-GB"/>
        </w:rPr>
        <w:t>.</w:t>
      </w:r>
    </w:p>
    <w:p w14:paraId="19F2D3AF" w14:textId="793A95C5" w:rsidR="00F566FE" w:rsidRPr="008C1EAE" w:rsidRDefault="007331F3" w:rsidP="007331F3">
      <w:pPr>
        <w:pStyle w:val="Prrafodelista"/>
        <w:numPr>
          <w:ilvl w:val="0"/>
          <w:numId w:val="1"/>
        </w:numPr>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da-DK"/>
        </w:rPr>
        <w:t xml:space="preserve">Jonathan A. Foley et al. </w:t>
      </w:r>
      <w:r w:rsidRPr="008C1EAE">
        <w:rPr>
          <w:rFonts w:ascii="Times New Roman" w:hAnsi="Times New Roman" w:cs="Times New Roman"/>
          <w:color w:val="000000" w:themeColor="text1"/>
          <w:lang w:val="en-GB"/>
        </w:rPr>
        <w:t xml:space="preserve">(2005). Global Consequences of Land Use. </w:t>
      </w:r>
      <w:r w:rsidRPr="008C1EAE">
        <w:rPr>
          <w:rFonts w:ascii="Times New Roman" w:hAnsi="Times New Roman" w:cs="Times New Roman"/>
          <w:color w:val="000000" w:themeColor="text1"/>
          <w:lang w:val="es"/>
        </w:rPr>
        <w:t>Science vol. 309, pp. 570-574.DOI:10.1126/science.1111772.</w:t>
      </w:r>
    </w:p>
    <w:p w14:paraId="5403D6E7" w14:textId="6FE0F4E4" w:rsidR="00305AA9" w:rsidRPr="008C1EAE" w:rsidRDefault="00305AA9" w:rsidP="007331F3">
      <w:pPr>
        <w:pStyle w:val="Prrafodelista"/>
        <w:numPr>
          <w:ilvl w:val="0"/>
          <w:numId w:val="1"/>
        </w:numPr>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pl-PL"/>
        </w:rPr>
        <w:t xml:space="preserve">Brady, N. C., Weil, R. R. (2016). </w:t>
      </w:r>
      <w:r w:rsidRPr="008C1EAE">
        <w:rPr>
          <w:rFonts w:ascii="Times New Roman" w:hAnsi="Times New Roman" w:cs="Times New Roman"/>
          <w:color w:val="000000" w:themeColor="text1"/>
          <w:lang w:val="en-GB"/>
        </w:rPr>
        <w:t xml:space="preserve">The Nature and Properties of Soils (15th ed.). </w:t>
      </w:r>
      <w:r w:rsidRPr="008C1EAE">
        <w:rPr>
          <w:rFonts w:ascii="Times New Roman" w:hAnsi="Times New Roman" w:cs="Times New Roman"/>
          <w:color w:val="000000" w:themeColor="text1"/>
          <w:lang w:val="es"/>
        </w:rPr>
        <w:t>Pearson Education.</w:t>
      </w:r>
    </w:p>
    <w:p w14:paraId="11982A85" w14:textId="41848C4D" w:rsidR="0088346C" w:rsidRPr="000C1C0A" w:rsidRDefault="00824E8E" w:rsidP="3C5DB29E">
      <w:pPr>
        <w:pStyle w:val="Prrafodelista"/>
        <w:numPr>
          <w:ilvl w:val="0"/>
          <w:numId w:val="1"/>
        </w:numPr>
        <w:jc w:val="both"/>
        <w:rPr>
          <w:rFonts w:ascii="Times New Roman" w:hAnsi="Times New Roman" w:cs="Times New Roman"/>
          <w:color w:val="000000" w:themeColor="text1"/>
          <w:lang w:val="en-GB"/>
        </w:rPr>
      </w:pPr>
      <w:r w:rsidRPr="008C1EAE">
        <w:rPr>
          <w:rFonts w:ascii="Times New Roman" w:hAnsi="Times New Roman" w:cs="Times New Roman"/>
          <w:color w:val="000000" w:themeColor="text1"/>
          <w:lang w:val="en-GB"/>
        </w:rPr>
        <w:t>EU Mission Soil Deal for Europe</w:t>
      </w:r>
      <w:r w:rsidR="000E14A7" w:rsidRPr="008C1EAE">
        <w:rPr>
          <w:rFonts w:ascii="Times New Roman" w:hAnsi="Times New Roman" w:cs="Times New Roman"/>
          <w:color w:val="000000" w:themeColor="text1"/>
          <w:lang w:val="en-GB"/>
        </w:rPr>
        <w:t xml:space="preserve">. 100 living labs and lighthouses to lead the transition towards </w:t>
      </w:r>
      <w:r w:rsidR="0000609E" w:rsidRPr="008C1EAE">
        <w:rPr>
          <w:rFonts w:ascii="Times New Roman" w:hAnsi="Times New Roman" w:cs="Times New Roman"/>
          <w:color w:val="000000" w:themeColor="text1"/>
          <w:lang w:val="en-GB"/>
        </w:rPr>
        <w:t>healthy soils</w:t>
      </w:r>
      <w:r w:rsidR="000E14A7" w:rsidRPr="008C1EAE">
        <w:rPr>
          <w:rFonts w:ascii="Times New Roman" w:hAnsi="Times New Roman" w:cs="Times New Roman"/>
          <w:color w:val="000000" w:themeColor="text1"/>
          <w:lang w:val="en-GB"/>
        </w:rPr>
        <w:t xml:space="preserve"> by 2023.</w:t>
      </w:r>
      <w:r w:rsidRPr="008C1EAE">
        <w:rPr>
          <w:rFonts w:ascii="Times New Roman" w:hAnsi="Times New Roman" w:cs="Times New Roman"/>
          <w:color w:val="000000" w:themeColor="text1"/>
          <w:lang w:val="en-GB"/>
        </w:rPr>
        <w:t xml:space="preserve"> Implementation plan</w:t>
      </w:r>
      <w:r w:rsidR="006E6A5C" w:rsidRPr="008C1EAE">
        <w:rPr>
          <w:rFonts w:ascii="Times New Roman" w:hAnsi="Times New Roman" w:cs="Times New Roman"/>
          <w:color w:val="000000" w:themeColor="text1"/>
          <w:lang w:val="en-GB"/>
        </w:rPr>
        <w:t xml:space="preserve">. Available at </w:t>
      </w:r>
      <w:hyperlink r:id="rId52">
        <w:r w:rsidR="006E6A5C" w:rsidRPr="008C1EAE">
          <w:rPr>
            <w:rStyle w:val="Hipervnculo"/>
            <w:rFonts w:ascii="Times New Roman" w:hAnsi="Times New Roman" w:cs="Times New Roman"/>
            <w:lang w:val="en-GB"/>
          </w:rPr>
          <w:t>https://research-and-innovation.ec.europa.eu/knowledge-publications-tools-and-data/publications/all-publications/implementation-plans-eu-missions_en</w:t>
        </w:r>
      </w:hyperlink>
    </w:p>
    <w:sectPr w:rsidR="0088346C" w:rsidRPr="000C1C0A" w:rsidSect="00005425">
      <w:headerReference w:type="default" r:id="rId53"/>
      <w:footerReference w:type="default" r:id="rId5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17050" w14:textId="77777777" w:rsidR="003B246E" w:rsidRDefault="003B246E" w:rsidP="00D45FCE">
      <w:pPr>
        <w:spacing w:after="0" w:line="240" w:lineRule="auto"/>
      </w:pPr>
      <w:r>
        <w:separator/>
      </w:r>
    </w:p>
  </w:endnote>
  <w:endnote w:type="continuationSeparator" w:id="0">
    <w:p w14:paraId="62C2B8F3" w14:textId="77777777" w:rsidR="003B246E" w:rsidRDefault="003B246E" w:rsidP="00D45FCE">
      <w:pPr>
        <w:spacing w:after="0" w:line="240" w:lineRule="auto"/>
      </w:pPr>
      <w:r>
        <w:continuationSeparator/>
      </w:r>
    </w:p>
  </w:endnote>
  <w:endnote w:type="continuationNotice" w:id="1">
    <w:p w14:paraId="627B890A" w14:textId="77777777" w:rsidR="003B246E" w:rsidRDefault="003B24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BC64" w14:textId="77777777" w:rsidR="00E14DC8" w:rsidRPr="00D45FCE" w:rsidRDefault="00E14DC8" w:rsidP="00D45FCE">
    <w:pPr>
      <w:pStyle w:val="Piedepgina"/>
    </w:pPr>
    <w:r w:rsidRPr="00D45FCE">
      <w:rPr>
        <w:noProof/>
        <w:lang w:val="pl-PL" w:eastAsia="pl-PL"/>
      </w:rPr>
      <w:drawing>
        <wp:anchor distT="0" distB="0" distL="114300" distR="114300" simplePos="0" relativeHeight="251658240" behindDoc="1" locked="0" layoutInCell="1" allowOverlap="1" wp14:anchorId="30695511" wp14:editId="53F14B9A">
          <wp:simplePos x="0" y="0"/>
          <wp:positionH relativeFrom="page">
            <wp:posOffset>-6350</wp:posOffset>
          </wp:positionH>
          <wp:positionV relativeFrom="paragraph">
            <wp:posOffset>-47567</wp:posOffset>
          </wp:positionV>
          <wp:extent cx="7626985" cy="650875"/>
          <wp:effectExtent l="0" t="0" r="0" b="0"/>
          <wp:wrapNone/>
          <wp:docPr id="1683028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28353" name=""/>
                  <pic:cNvPicPr/>
                </pic:nvPicPr>
                <pic:blipFill>
                  <a:blip r:embed="rId1">
                    <a:extLst>
                      <a:ext uri="{28A0092B-C50C-407E-A947-70E740481C1C}">
                        <a14:useLocalDpi xmlns:a14="http://schemas.microsoft.com/office/drawing/2010/main" val="0"/>
                      </a:ext>
                    </a:extLst>
                  </a:blip>
                  <a:stretch>
                    <a:fillRect/>
                  </a:stretch>
                </pic:blipFill>
                <pic:spPr>
                  <a:xfrm>
                    <a:off x="0" y="0"/>
                    <a:ext cx="7626985" cy="6508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582BD" w14:textId="77777777" w:rsidR="003B246E" w:rsidRDefault="003B246E" w:rsidP="00D45FCE">
      <w:pPr>
        <w:spacing w:after="0" w:line="240" w:lineRule="auto"/>
      </w:pPr>
      <w:r>
        <w:separator/>
      </w:r>
    </w:p>
  </w:footnote>
  <w:footnote w:type="continuationSeparator" w:id="0">
    <w:p w14:paraId="7ADE73BB" w14:textId="77777777" w:rsidR="003B246E" w:rsidRDefault="003B246E" w:rsidP="00D45FCE">
      <w:pPr>
        <w:spacing w:after="0" w:line="240" w:lineRule="auto"/>
      </w:pPr>
      <w:r>
        <w:continuationSeparator/>
      </w:r>
    </w:p>
  </w:footnote>
  <w:footnote w:type="continuationNotice" w:id="1">
    <w:p w14:paraId="0E2AC389" w14:textId="77777777" w:rsidR="003B246E" w:rsidRDefault="003B24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33A2" w14:textId="77777777" w:rsidR="00E14DC8" w:rsidRDefault="00E14DC8">
    <w:pPr>
      <w:pStyle w:val="Encabezado"/>
    </w:pPr>
    <w:r>
      <w:rPr>
        <w:noProof/>
        <w:lang w:val="pl-PL" w:eastAsia="pl-PL"/>
      </w:rPr>
      <w:drawing>
        <wp:anchor distT="0" distB="0" distL="114300" distR="114300" simplePos="0" relativeHeight="251658241" behindDoc="0" locked="0" layoutInCell="1" allowOverlap="1" wp14:anchorId="63F9C53D" wp14:editId="00108F4E">
          <wp:simplePos x="0" y="0"/>
          <wp:positionH relativeFrom="column">
            <wp:posOffset>3580938</wp:posOffset>
          </wp:positionH>
          <wp:positionV relativeFrom="paragraph">
            <wp:posOffset>-88496</wp:posOffset>
          </wp:positionV>
          <wp:extent cx="2575560" cy="350520"/>
          <wp:effectExtent l="0" t="0" r="0" b="0"/>
          <wp:wrapNone/>
          <wp:docPr id="1069797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5560" cy="350520"/>
                  </a:xfrm>
                  <a:prstGeom prst="rect">
                    <a:avLst/>
                  </a:prstGeom>
                  <a:noFill/>
                </pic:spPr>
              </pic:pic>
            </a:graphicData>
          </a:graphic>
        </wp:anchor>
      </w:drawing>
    </w:r>
    <w:r>
      <w:rPr>
        <w:noProof/>
        <w:lang w:val="pl-PL" w:eastAsia="pl-PL"/>
      </w:rPr>
      <w:drawing>
        <wp:anchor distT="0" distB="0" distL="114300" distR="114300" simplePos="0" relativeHeight="251658242" behindDoc="0" locked="0" layoutInCell="1" allowOverlap="1" wp14:anchorId="16564428" wp14:editId="06817B71">
          <wp:simplePos x="0" y="0"/>
          <wp:positionH relativeFrom="column">
            <wp:posOffset>-664152</wp:posOffset>
          </wp:positionH>
          <wp:positionV relativeFrom="paragraph">
            <wp:posOffset>-109682</wp:posOffset>
          </wp:positionV>
          <wp:extent cx="2018049" cy="685800"/>
          <wp:effectExtent l="0" t="0" r="1270" b="0"/>
          <wp:wrapNone/>
          <wp:docPr id="839011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8049" cy="68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C2025"/>
    <w:multiLevelType w:val="hybridMultilevel"/>
    <w:tmpl w:val="D95E74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6F04504"/>
    <w:multiLevelType w:val="hybridMultilevel"/>
    <w:tmpl w:val="44D4EE1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9301F01"/>
    <w:multiLevelType w:val="hybridMultilevel"/>
    <w:tmpl w:val="1F0A4E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AC0CC4"/>
    <w:multiLevelType w:val="hybridMultilevel"/>
    <w:tmpl w:val="460A50C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42692641">
    <w:abstractNumId w:val="3"/>
  </w:num>
  <w:num w:numId="2" w16cid:durableId="717508464">
    <w:abstractNumId w:val="2"/>
  </w:num>
  <w:num w:numId="3" w16cid:durableId="508981533">
    <w:abstractNumId w:val="0"/>
  </w:num>
  <w:num w:numId="4" w16cid:durableId="1958876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FCE"/>
    <w:rsid w:val="0000122B"/>
    <w:rsid w:val="00005425"/>
    <w:rsid w:val="0000609E"/>
    <w:rsid w:val="000328C5"/>
    <w:rsid w:val="00040F5F"/>
    <w:rsid w:val="000666CF"/>
    <w:rsid w:val="00072F36"/>
    <w:rsid w:val="000972C1"/>
    <w:rsid w:val="00097541"/>
    <w:rsid w:val="000A1D24"/>
    <w:rsid w:val="000A61D6"/>
    <w:rsid w:val="000C0C36"/>
    <w:rsid w:val="000C1C0A"/>
    <w:rsid w:val="000C7CFD"/>
    <w:rsid w:val="000E14A7"/>
    <w:rsid w:val="000E783F"/>
    <w:rsid w:val="001023E6"/>
    <w:rsid w:val="00103DC5"/>
    <w:rsid w:val="00143C75"/>
    <w:rsid w:val="00145FCE"/>
    <w:rsid w:val="001519D8"/>
    <w:rsid w:val="00167B17"/>
    <w:rsid w:val="001A43DB"/>
    <w:rsid w:val="001A5BD9"/>
    <w:rsid w:val="001B1D9B"/>
    <w:rsid w:val="001B4585"/>
    <w:rsid w:val="001D42F7"/>
    <w:rsid w:val="001D7EC2"/>
    <w:rsid w:val="001E013E"/>
    <w:rsid w:val="0021576C"/>
    <w:rsid w:val="00235624"/>
    <w:rsid w:val="00245C36"/>
    <w:rsid w:val="00262263"/>
    <w:rsid w:val="00263A54"/>
    <w:rsid w:val="00266FDC"/>
    <w:rsid w:val="002834EC"/>
    <w:rsid w:val="002841B1"/>
    <w:rsid w:val="00286FD8"/>
    <w:rsid w:val="002928B0"/>
    <w:rsid w:val="00295DE0"/>
    <w:rsid w:val="002A25F6"/>
    <w:rsid w:val="002A67F8"/>
    <w:rsid w:val="002B3B16"/>
    <w:rsid w:val="002B433D"/>
    <w:rsid w:val="002F0403"/>
    <w:rsid w:val="002F1A9D"/>
    <w:rsid w:val="003036C6"/>
    <w:rsid w:val="00305AA9"/>
    <w:rsid w:val="00305B7A"/>
    <w:rsid w:val="003222BB"/>
    <w:rsid w:val="00325D69"/>
    <w:rsid w:val="0033472B"/>
    <w:rsid w:val="00336CC7"/>
    <w:rsid w:val="00340A59"/>
    <w:rsid w:val="0035414B"/>
    <w:rsid w:val="00373999"/>
    <w:rsid w:val="00381B1D"/>
    <w:rsid w:val="00392C41"/>
    <w:rsid w:val="0039340A"/>
    <w:rsid w:val="003B246E"/>
    <w:rsid w:val="003B4948"/>
    <w:rsid w:val="003B59F1"/>
    <w:rsid w:val="003B59F6"/>
    <w:rsid w:val="003B700C"/>
    <w:rsid w:val="003D7524"/>
    <w:rsid w:val="003F1C18"/>
    <w:rsid w:val="00400A2C"/>
    <w:rsid w:val="00401AC5"/>
    <w:rsid w:val="00403E02"/>
    <w:rsid w:val="004057B3"/>
    <w:rsid w:val="0041374C"/>
    <w:rsid w:val="00430B8F"/>
    <w:rsid w:val="00431FEF"/>
    <w:rsid w:val="00432D4F"/>
    <w:rsid w:val="00451D6D"/>
    <w:rsid w:val="00481076"/>
    <w:rsid w:val="004A1284"/>
    <w:rsid w:val="004B1424"/>
    <w:rsid w:val="004C6804"/>
    <w:rsid w:val="004E6CA3"/>
    <w:rsid w:val="004F7434"/>
    <w:rsid w:val="0051144D"/>
    <w:rsid w:val="00525540"/>
    <w:rsid w:val="00544C03"/>
    <w:rsid w:val="00550145"/>
    <w:rsid w:val="0055428B"/>
    <w:rsid w:val="00573E13"/>
    <w:rsid w:val="00582A39"/>
    <w:rsid w:val="005A51C5"/>
    <w:rsid w:val="005A766D"/>
    <w:rsid w:val="005E604C"/>
    <w:rsid w:val="005F5916"/>
    <w:rsid w:val="005F70A0"/>
    <w:rsid w:val="006236FB"/>
    <w:rsid w:val="00627419"/>
    <w:rsid w:val="00644919"/>
    <w:rsid w:val="006471A4"/>
    <w:rsid w:val="0064757E"/>
    <w:rsid w:val="0067008A"/>
    <w:rsid w:val="006810B8"/>
    <w:rsid w:val="006A5BAB"/>
    <w:rsid w:val="006A78A6"/>
    <w:rsid w:val="006C4BFC"/>
    <w:rsid w:val="006D24D6"/>
    <w:rsid w:val="006E6A5C"/>
    <w:rsid w:val="006F116C"/>
    <w:rsid w:val="006F2E74"/>
    <w:rsid w:val="006F7FFC"/>
    <w:rsid w:val="007058B1"/>
    <w:rsid w:val="007331F3"/>
    <w:rsid w:val="00742F73"/>
    <w:rsid w:val="0074491D"/>
    <w:rsid w:val="00756CD9"/>
    <w:rsid w:val="00767523"/>
    <w:rsid w:val="00771247"/>
    <w:rsid w:val="00782440"/>
    <w:rsid w:val="00783BF9"/>
    <w:rsid w:val="007C06B2"/>
    <w:rsid w:val="007C4345"/>
    <w:rsid w:val="007C4628"/>
    <w:rsid w:val="007D4ACB"/>
    <w:rsid w:val="007F064D"/>
    <w:rsid w:val="00814E64"/>
    <w:rsid w:val="00824E8E"/>
    <w:rsid w:val="008341D1"/>
    <w:rsid w:val="008366AC"/>
    <w:rsid w:val="0084208D"/>
    <w:rsid w:val="008639D3"/>
    <w:rsid w:val="0087744D"/>
    <w:rsid w:val="0088346C"/>
    <w:rsid w:val="008A1794"/>
    <w:rsid w:val="008A5BFA"/>
    <w:rsid w:val="008C1EAE"/>
    <w:rsid w:val="008D2247"/>
    <w:rsid w:val="008D4AD9"/>
    <w:rsid w:val="008E573B"/>
    <w:rsid w:val="00901C14"/>
    <w:rsid w:val="0090512F"/>
    <w:rsid w:val="009072D9"/>
    <w:rsid w:val="009745EE"/>
    <w:rsid w:val="00976B7B"/>
    <w:rsid w:val="009902AB"/>
    <w:rsid w:val="009A04B6"/>
    <w:rsid w:val="009A1009"/>
    <w:rsid w:val="009B0042"/>
    <w:rsid w:val="009B1027"/>
    <w:rsid w:val="009B53C4"/>
    <w:rsid w:val="009B5DF5"/>
    <w:rsid w:val="009C731E"/>
    <w:rsid w:val="009F2FB0"/>
    <w:rsid w:val="009F3CB3"/>
    <w:rsid w:val="009F6001"/>
    <w:rsid w:val="00A10227"/>
    <w:rsid w:val="00A1160B"/>
    <w:rsid w:val="00A35AB2"/>
    <w:rsid w:val="00A37719"/>
    <w:rsid w:val="00A45805"/>
    <w:rsid w:val="00A561D2"/>
    <w:rsid w:val="00A655ED"/>
    <w:rsid w:val="00A80812"/>
    <w:rsid w:val="00AA6CCC"/>
    <w:rsid w:val="00AC054B"/>
    <w:rsid w:val="00AC2856"/>
    <w:rsid w:val="00AC40AC"/>
    <w:rsid w:val="00AC66AB"/>
    <w:rsid w:val="00AD37EC"/>
    <w:rsid w:val="00AD6E49"/>
    <w:rsid w:val="00AE11B5"/>
    <w:rsid w:val="00AE2113"/>
    <w:rsid w:val="00AF434D"/>
    <w:rsid w:val="00B0252A"/>
    <w:rsid w:val="00B16535"/>
    <w:rsid w:val="00B21C9E"/>
    <w:rsid w:val="00B22A51"/>
    <w:rsid w:val="00B23CF2"/>
    <w:rsid w:val="00B2559E"/>
    <w:rsid w:val="00B3143F"/>
    <w:rsid w:val="00B43EA9"/>
    <w:rsid w:val="00B54C32"/>
    <w:rsid w:val="00B6198C"/>
    <w:rsid w:val="00B72AE8"/>
    <w:rsid w:val="00B9292D"/>
    <w:rsid w:val="00BA17DA"/>
    <w:rsid w:val="00BD4C94"/>
    <w:rsid w:val="00BE5454"/>
    <w:rsid w:val="00BE7617"/>
    <w:rsid w:val="00BF19CD"/>
    <w:rsid w:val="00BF7FA3"/>
    <w:rsid w:val="00C04F6E"/>
    <w:rsid w:val="00C21138"/>
    <w:rsid w:val="00C23627"/>
    <w:rsid w:val="00C2543C"/>
    <w:rsid w:val="00C36E3F"/>
    <w:rsid w:val="00C438AF"/>
    <w:rsid w:val="00C517B8"/>
    <w:rsid w:val="00C606FC"/>
    <w:rsid w:val="00C60A38"/>
    <w:rsid w:val="00C6663B"/>
    <w:rsid w:val="00C8583F"/>
    <w:rsid w:val="00C87532"/>
    <w:rsid w:val="00CA1E33"/>
    <w:rsid w:val="00CB0D6C"/>
    <w:rsid w:val="00CB5EC8"/>
    <w:rsid w:val="00CE2639"/>
    <w:rsid w:val="00D32CD6"/>
    <w:rsid w:val="00D32F43"/>
    <w:rsid w:val="00D3385E"/>
    <w:rsid w:val="00D33ED2"/>
    <w:rsid w:val="00D45FCE"/>
    <w:rsid w:val="00D54F67"/>
    <w:rsid w:val="00D600D0"/>
    <w:rsid w:val="00D95FD2"/>
    <w:rsid w:val="00DA15FD"/>
    <w:rsid w:val="00DB0D05"/>
    <w:rsid w:val="00DB4522"/>
    <w:rsid w:val="00DC6B39"/>
    <w:rsid w:val="00DD73DC"/>
    <w:rsid w:val="00DE364D"/>
    <w:rsid w:val="00DF7C39"/>
    <w:rsid w:val="00E03E8D"/>
    <w:rsid w:val="00E14DC8"/>
    <w:rsid w:val="00E15523"/>
    <w:rsid w:val="00E16D11"/>
    <w:rsid w:val="00E410A6"/>
    <w:rsid w:val="00E61C6A"/>
    <w:rsid w:val="00E62F23"/>
    <w:rsid w:val="00E73764"/>
    <w:rsid w:val="00E848B8"/>
    <w:rsid w:val="00EA5E54"/>
    <w:rsid w:val="00EC6030"/>
    <w:rsid w:val="00ED45AD"/>
    <w:rsid w:val="00F11928"/>
    <w:rsid w:val="00F159DB"/>
    <w:rsid w:val="00F566FE"/>
    <w:rsid w:val="00F71604"/>
    <w:rsid w:val="00F801A5"/>
    <w:rsid w:val="00F97EC8"/>
    <w:rsid w:val="00FC0459"/>
    <w:rsid w:val="0120B70E"/>
    <w:rsid w:val="02F3AD08"/>
    <w:rsid w:val="0321560D"/>
    <w:rsid w:val="038ACCA1"/>
    <w:rsid w:val="03CAA5B5"/>
    <w:rsid w:val="069D3D16"/>
    <w:rsid w:val="08483449"/>
    <w:rsid w:val="09A54ABD"/>
    <w:rsid w:val="0A6A20A6"/>
    <w:rsid w:val="0B501DB7"/>
    <w:rsid w:val="0C1E07BB"/>
    <w:rsid w:val="0F3650C6"/>
    <w:rsid w:val="109C3DB7"/>
    <w:rsid w:val="132DE855"/>
    <w:rsid w:val="14B9D434"/>
    <w:rsid w:val="152C7CC7"/>
    <w:rsid w:val="166A04CD"/>
    <w:rsid w:val="1677CE7D"/>
    <w:rsid w:val="1811A91A"/>
    <w:rsid w:val="1959BD9D"/>
    <w:rsid w:val="19D3786C"/>
    <w:rsid w:val="1FB2A38B"/>
    <w:rsid w:val="21596F9C"/>
    <w:rsid w:val="2237BAB3"/>
    <w:rsid w:val="225A63AD"/>
    <w:rsid w:val="23453E2A"/>
    <w:rsid w:val="2467DD67"/>
    <w:rsid w:val="26D3E50E"/>
    <w:rsid w:val="27C159AD"/>
    <w:rsid w:val="2A6B36B3"/>
    <w:rsid w:val="2A749744"/>
    <w:rsid w:val="2B5FC871"/>
    <w:rsid w:val="2BD05CA5"/>
    <w:rsid w:val="2C6C7817"/>
    <w:rsid w:val="2CD978D7"/>
    <w:rsid w:val="2D6C3AD2"/>
    <w:rsid w:val="2EE21F3C"/>
    <w:rsid w:val="2EFFCF3E"/>
    <w:rsid w:val="2FB38FA0"/>
    <w:rsid w:val="2FC58810"/>
    <w:rsid w:val="3175EB22"/>
    <w:rsid w:val="31C8018C"/>
    <w:rsid w:val="339664F4"/>
    <w:rsid w:val="34C59A6A"/>
    <w:rsid w:val="35E13356"/>
    <w:rsid w:val="3602B68D"/>
    <w:rsid w:val="380CF42D"/>
    <w:rsid w:val="38A1FE9B"/>
    <w:rsid w:val="39814E93"/>
    <w:rsid w:val="39A613D4"/>
    <w:rsid w:val="3B0798DC"/>
    <w:rsid w:val="3C5DB29E"/>
    <w:rsid w:val="3F4FD9A7"/>
    <w:rsid w:val="40289779"/>
    <w:rsid w:val="43B5778F"/>
    <w:rsid w:val="445FBA89"/>
    <w:rsid w:val="460C4326"/>
    <w:rsid w:val="492994D7"/>
    <w:rsid w:val="4BCDAA92"/>
    <w:rsid w:val="4C56CCDF"/>
    <w:rsid w:val="4EC0C425"/>
    <w:rsid w:val="4F25363E"/>
    <w:rsid w:val="4F734429"/>
    <w:rsid w:val="51D26CB4"/>
    <w:rsid w:val="51FCF1B2"/>
    <w:rsid w:val="527CEE95"/>
    <w:rsid w:val="530BC0D3"/>
    <w:rsid w:val="53A8CFB5"/>
    <w:rsid w:val="5421BEFE"/>
    <w:rsid w:val="54237F76"/>
    <w:rsid w:val="55BB9F1B"/>
    <w:rsid w:val="57746F43"/>
    <w:rsid w:val="577D4C5B"/>
    <w:rsid w:val="59A45F59"/>
    <w:rsid w:val="59E1B455"/>
    <w:rsid w:val="5A08A29F"/>
    <w:rsid w:val="5ABEB82E"/>
    <w:rsid w:val="5BBFCE40"/>
    <w:rsid w:val="5C9F42A9"/>
    <w:rsid w:val="6074F090"/>
    <w:rsid w:val="62305FAF"/>
    <w:rsid w:val="6396096C"/>
    <w:rsid w:val="6529DEEA"/>
    <w:rsid w:val="664DA99E"/>
    <w:rsid w:val="6790BDB9"/>
    <w:rsid w:val="679422FD"/>
    <w:rsid w:val="6879B0AA"/>
    <w:rsid w:val="68A74DE5"/>
    <w:rsid w:val="68CD78EC"/>
    <w:rsid w:val="6A6FD913"/>
    <w:rsid w:val="6F1D7D40"/>
    <w:rsid w:val="6FC4A429"/>
    <w:rsid w:val="71C68BEB"/>
    <w:rsid w:val="7223CAC4"/>
    <w:rsid w:val="73F05EC5"/>
    <w:rsid w:val="745D0BD7"/>
    <w:rsid w:val="752595BB"/>
    <w:rsid w:val="7683B95B"/>
    <w:rsid w:val="7A1A8FAE"/>
    <w:rsid w:val="7A1D2063"/>
    <w:rsid w:val="7AFF6273"/>
    <w:rsid w:val="7C89EF0F"/>
    <w:rsid w:val="7D7E0133"/>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760D9"/>
  <w15:docId w15:val="{B68DA630-C9BA-439A-AAC7-81E9F4F44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425"/>
  </w:style>
  <w:style w:type="paragraph" w:styleId="Ttulo1">
    <w:name w:val="heading 1"/>
    <w:basedOn w:val="Normal"/>
    <w:next w:val="Normal"/>
    <w:link w:val="Ttulo1Car"/>
    <w:uiPriority w:val="9"/>
    <w:qFormat/>
    <w:rsid w:val="00D45F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45F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45FC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45FC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45FC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45FC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45FC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45FC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45FC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5FC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45FC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45FC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45FC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45FC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45FC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45FC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45FC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45FCE"/>
    <w:rPr>
      <w:rFonts w:eastAsiaTheme="majorEastAsia" w:cstheme="majorBidi"/>
      <w:color w:val="272727" w:themeColor="text1" w:themeTint="D8"/>
    </w:rPr>
  </w:style>
  <w:style w:type="paragraph" w:styleId="Ttulo">
    <w:name w:val="Title"/>
    <w:basedOn w:val="Normal"/>
    <w:next w:val="Normal"/>
    <w:link w:val="TtuloCar"/>
    <w:uiPriority w:val="10"/>
    <w:qFormat/>
    <w:rsid w:val="00D45F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45FC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45FC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45FC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45FCE"/>
    <w:pPr>
      <w:spacing w:before="160"/>
      <w:jc w:val="center"/>
    </w:pPr>
    <w:rPr>
      <w:i/>
      <w:iCs/>
      <w:color w:val="404040" w:themeColor="text1" w:themeTint="BF"/>
    </w:rPr>
  </w:style>
  <w:style w:type="character" w:customStyle="1" w:styleId="CitaCar">
    <w:name w:val="Cita Car"/>
    <w:basedOn w:val="Fuentedeprrafopredeter"/>
    <w:link w:val="Cita"/>
    <w:uiPriority w:val="29"/>
    <w:rsid w:val="00D45FCE"/>
    <w:rPr>
      <w:i/>
      <w:iCs/>
      <w:color w:val="404040" w:themeColor="text1" w:themeTint="BF"/>
    </w:rPr>
  </w:style>
  <w:style w:type="paragraph" w:styleId="Prrafodelista">
    <w:name w:val="List Paragraph"/>
    <w:basedOn w:val="Normal"/>
    <w:uiPriority w:val="34"/>
    <w:qFormat/>
    <w:rsid w:val="00D45FCE"/>
    <w:pPr>
      <w:ind w:left="720"/>
      <w:contextualSpacing/>
    </w:pPr>
  </w:style>
  <w:style w:type="character" w:styleId="nfasisintenso">
    <w:name w:val="Intense Emphasis"/>
    <w:basedOn w:val="Fuentedeprrafopredeter"/>
    <w:uiPriority w:val="21"/>
    <w:qFormat/>
    <w:rsid w:val="00D45FCE"/>
    <w:rPr>
      <w:i/>
      <w:iCs/>
      <w:color w:val="0F4761" w:themeColor="accent1" w:themeShade="BF"/>
    </w:rPr>
  </w:style>
  <w:style w:type="paragraph" w:styleId="Citadestacada">
    <w:name w:val="Intense Quote"/>
    <w:basedOn w:val="Normal"/>
    <w:next w:val="Normal"/>
    <w:link w:val="CitadestacadaCar"/>
    <w:uiPriority w:val="30"/>
    <w:qFormat/>
    <w:rsid w:val="00D45F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45FCE"/>
    <w:rPr>
      <w:i/>
      <w:iCs/>
      <w:color w:val="0F4761" w:themeColor="accent1" w:themeShade="BF"/>
    </w:rPr>
  </w:style>
  <w:style w:type="character" w:styleId="Referenciaintensa">
    <w:name w:val="Intense Reference"/>
    <w:basedOn w:val="Fuentedeprrafopredeter"/>
    <w:uiPriority w:val="32"/>
    <w:qFormat/>
    <w:rsid w:val="00D45FCE"/>
    <w:rPr>
      <w:b/>
      <w:bCs/>
      <w:smallCaps/>
      <w:color w:val="0F4761" w:themeColor="accent1" w:themeShade="BF"/>
      <w:spacing w:val="5"/>
    </w:rPr>
  </w:style>
  <w:style w:type="paragraph" w:styleId="Encabezado">
    <w:name w:val="header"/>
    <w:basedOn w:val="Normal"/>
    <w:link w:val="EncabezadoCar"/>
    <w:uiPriority w:val="99"/>
    <w:unhideWhenUsed/>
    <w:rsid w:val="00D45F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5FCE"/>
  </w:style>
  <w:style w:type="paragraph" w:styleId="Piedepgina">
    <w:name w:val="footer"/>
    <w:basedOn w:val="Normal"/>
    <w:link w:val="PiedepginaCar"/>
    <w:uiPriority w:val="99"/>
    <w:unhideWhenUsed/>
    <w:rsid w:val="00D45F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5FCE"/>
  </w:style>
  <w:style w:type="table" w:styleId="Tablaconcuadrcula">
    <w:name w:val="Table Grid"/>
    <w:basedOn w:val="Tablanormal"/>
    <w:uiPriority w:val="39"/>
    <w:rsid w:val="00AD6E49"/>
    <w:pPr>
      <w:spacing w:after="0" w:line="240" w:lineRule="auto"/>
    </w:pPr>
    <w:rPr>
      <w:kern w:val="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D6E49"/>
    <w:rPr>
      <w:color w:val="0000FF"/>
      <w:u w:val="single"/>
    </w:rPr>
  </w:style>
  <w:style w:type="character" w:styleId="Mencinsinresolver">
    <w:name w:val="Unresolved Mention"/>
    <w:basedOn w:val="Fuentedeprrafopredeter"/>
    <w:uiPriority w:val="99"/>
    <w:semiHidden/>
    <w:unhideWhenUsed/>
    <w:rsid w:val="002834EC"/>
    <w:rPr>
      <w:color w:val="605E5C"/>
      <w:shd w:val="clear" w:color="auto" w:fill="E1DFDD"/>
    </w:rPr>
  </w:style>
  <w:style w:type="paragraph" w:styleId="NormalWeb">
    <w:name w:val="Normal (Web)"/>
    <w:basedOn w:val="Normal"/>
    <w:uiPriority w:val="99"/>
    <w:semiHidden/>
    <w:unhideWhenUsed/>
    <w:rsid w:val="003B4948"/>
    <w:pPr>
      <w:spacing w:before="100" w:beforeAutospacing="1" w:after="100" w:afterAutospacing="1" w:line="240" w:lineRule="auto"/>
    </w:pPr>
    <w:rPr>
      <w:rFonts w:ascii="Times New Roman" w:eastAsia="Times New Roman" w:hAnsi="Times New Roman" w:cs="Times New Roman"/>
      <w:kern w:val="0"/>
      <w:sz w:val="24"/>
      <w:szCs w:val="24"/>
      <w:lang w:val="pl-PL" w:eastAsia="pl-PL"/>
    </w:rPr>
  </w:style>
  <w:style w:type="character" w:styleId="Hipervnculovisitado">
    <w:name w:val="FollowedHyperlink"/>
    <w:basedOn w:val="Fuentedeprrafopredeter"/>
    <w:uiPriority w:val="99"/>
    <w:semiHidden/>
    <w:unhideWhenUsed/>
    <w:rsid w:val="005F70A0"/>
    <w:rPr>
      <w:color w:val="96607D" w:themeColor="followedHyperlink"/>
      <w:u w:val="single"/>
    </w:rPr>
  </w:style>
  <w:style w:type="paragraph" w:styleId="Textonotaalfinal">
    <w:name w:val="endnote text"/>
    <w:basedOn w:val="Normal"/>
    <w:link w:val="TextonotaalfinalCar"/>
    <w:uiPriority w:val="99"/>
    <w:semiHidden/>
    <w:unhideWhenUsed/>
    <w:rsid w:val="00B929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9292D"/>
    <w:rPr>
      <w:sz w:val="20"/>
      <w:szCs w:val="20"/>
    </w:rPr>
  </w:style>
  <w:style w:type="character" w:styleId="Refdenotaalfinal">
    <w:name w:val="endnote reference"/>
    <w:basedOn w:val="Fuentedeprrafopredeter"/>
    <w:uiPriority w:val="99"/>
    <w:semiHidden/>
    <w:unhideWhenUsed/>
    <w:rsid w:val="00B9292D"/>
    <w:rPr>
      <w:vertAlign w:val="superscript"/>
    </w:rPr>
  </w:style>
  <w:style w:type="character" w:styleId="Refdecomentario">
    <w:name w:val="annotation reference"/>
    <w:basedOn w:val="Fuentedeprrafopredeter"/>
    <w:uiPriority w:val="99"/>
    <w:semiHidden/>
    <w:unhideWhenUsed/>
    <w:rsid w:val="003222BB"/>
    <w:rPr>
      <w:sz w:val="16"/>
      <w:szCs w:val="16"/>
    </w:rPr>
  </w:style>
  <w:style w:type="paragraph" w:styleId="Textocomentario">
    <w:name w:val="annotation text"/>
    <w:basedOn w:val="Normal"/>
    <w:link w:val="TextocomentarioCar"/>
    <w:uiPriority w:val="99"/>
    <w:unhideWhenUsed/>
    <w:rsid w:val="003222BB"/>
    <w:pPr>
      <w:spacing w:line="240" w:lineRule="auto"/>
    </w:pPr>
    <w:rPr>
      <w:sz w:val="20"/>
      <w:szCs w:val="20"/>
    </w:rPr>
  </w:style>
  <w:style w:type="character" w:customStyle="1" w:styleId="TextocomentarioCar">
    <w:name w:val="Texto comentario Car"/>
    <w:basedOn w:val="Fuentedeprrafopredeter"/>
    <w:link w:val="Textocomentario"/>
    <w:uiPriority w:val="99"/>
    <w:rsid w:val="003222BB"/>
    <w:rPr>
      <w:sz w:val="20"/>
      <w:szCs w:val="20"/>
    </w:rPr>
  </w:style>
  <w:style w:type="paragraph" w:styleId="Asuntodelcomentario">
    <w:name w:val="annotation subject"/>
    <w:basedOn w:val="Textocomentario"/>
    <w:next w:val="Textocomentario"/>
    <w:link w:val="AsuntodelcomentarioCar"/>
    <w:uiPriority w:val="99"/>
    <w:semiHidden/>
    <w:unhideWhenUsed/>
    <w:rsid w:val="003222BB"/>
    <w:rPr>
      <w:b/>
      <w:bCs/>
    </w:rPr>
  </w:style>
  <w:style w:type="character" w:customStyle="1" w:styleId="AsuntodelcomentarioCar">
    <w:name w:val="Asunto del comentario Car"/>
    <w:basedOn w:val="TextocomentarioCar"/>
    <w:link w:val="Asuntodelcomentario"/>
    <w:uiPriority w:val="99"/>
    <w:semiHidden/>
    <w:rsid w:val="003222BB"/>
    <w:rPr>
      <w:b/>
      <w:bCs/>
      <w:sz w:val="20"/>
      <w:szCs w:val="20"/>
    </w:rPr>
  </w:style>
  <w:style w:type="paragraph" w:styleId="Textodeglobo">
    <w:name w:val="Balloon Text"/>
    <w:basedOn w:val="Normal"/>
    <w:link w:val="TextodegloboCar"/>
    <w:uiPriority w:val="99"/>
    <w:semiHidden/>
    <w:unhideWhenUsed/>
    <w:rsid w:val="003222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22BB"/>
    <w:rPr>
      <w:rFonts w:ascii="Segoe UI" w:hAnsi="Segoe UI" w:cs="Segoe UI"/>
      <w:sz w:val="18"/>
      <w:szCs w:val="18"/>
    </w:rPr>
  </w:style>
  <w:style w:type="paragraph" w:styleId="Revisin">
    <w:name w:val="Revision"/>
    <w:hidden/>
    <w:uiPriority w:val="99"/>
    <w:semiHidden/>
    <w:rsid w:val="00CE2639"/>
    <w:pPr>
      <w:spacing w:after="0" w:line="240" w:lineRule="auto"/>
    </w:pPr>
  </w:style>
  <w:style w:type="character" w:styleId="nfasis">
    <w:name w:val="Emphasis"/>
    <w:basedOn w:val="Fuentedeprrafopredeter"/>
    <w:uiPriority w:val="20"/>
    <w:qFormat/>
    <w:rsid w:val="00A808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997352">
      <w:bodyDiv w:val="1"/>
      <w:marLeft w:val="0"/>
      <w:marRight w:val="0"/>
      <w:marTop w:val="0"/>
      <w:marBottom w:val="0"/>
      <w:divBdr>
        <w:top w:val="none" w:sz="0" w:space="0" w:color="auto"/>
        <w:left w:val="none" w:sz="0" w:space="0" w:color="auto"/>
        <w:bottom w:val="none" w:sz="0" w:space="0" w:color="auto"/>
        <w:right w:val="none" w:sz="0" w:space="0" w:color="auto"/>
      </w:divBdr>
      <w:divsChild>
        <w:div w:id="1305309592">
          <w:marLeft w:val="0"/>
          <w:marRight w:val="0"/>
          <w:marTop w:val="240"/>
          <w:marBottom w:val="240"/>
          <w:divBdr>
            <w:top w:val="none" w:sz="0" w:space="0" w:color="auto"/>
            <w:left w:val="none" w:sz="0" w:space="0" w:color="auto"/>
            <w:bottom w:val="none" w:sz="0" w:space="0" w:color="auto"/>
            <w:right w:val="none" w:sz="0" w:space="0" w:color="auto"/>
          </w:divBdr>
        </w:div>
        <w:div w:id="1849445323">
          <w:marLeft w:val="0"/>
          <w:marRight w:val="0"/>
          <w:marTop w:val="240"/>
          <w:marBottom w:val="240"/>
          <w:divBdr>
            <w:top w:val="none" w:sz="0" w:space="0" w:color="auto"/>
            <w:left w:val="none" w:sz="0" w:space="0" w:color="auto"/>
            <w:bottom w:val="none" w:sz="0" w:space="0" w:color="auto"/>
            <w:right w:val="none" w:sz="0" w:space="0" w:color="auto"/>
          </w:divBdr>
        </w:div>
        <w:div w:id="1177381033">
          <w:marLeft w:val="0"/>
          <w:marRight w:val="0"/>
          <w:marTop w:val="240"/>
          <w:marBottom w:val="240"/>
          <w:divBdr>
            <w:top w:val="none" w:sz="0" w:space="0" w:color="auto"/>
            <w:left w:val="none" w:sz="0" w:space="0" w:color="auto"/>
            <w:bottom w:val="none" w:sz="0" w:space="0" w:color="auto"/>
            <w:right w:val="none" w:sz="0" w:space="0" w:color="auto"/>
          </w:divBdr>
        </w:div>
        <w:div w:id="1199665017">
          <w:marLeft w:val="0"/>
          <w:marRight w:val="0"/>
          <w:marTop w:val="240"/>
          <w:marBottom w:val="240"/>
          <w:divBdr>
            <w:top w:val="none" w:sz="0" w:space="0" w:color="auto"/>
            <w:left w:val="none" w:sz="0" w:space="0" w:color="auto"/>
            <w:bottom w:val="none" w:sz="0" w:space="0" w:color="auto"/>
            <w:right w:val="none" w:sz="0" w:space="0" w:color="auto"/>
          </w:divBdr>
        </w:div>
        <w:div w:id="478769567">
          <w:marLeft w:val="0"/>
          <w:marRight w:val="0"/>
          <w:marTop w:val="240"/>
          <w:marBottom w:val="240"/>
          <w:divBdr>
            <w:top w:val="none" w:sz="0" w:space="0" w:color="auto"/>
            <w:left w:val="none" w:sz="0" w:space="0" w:color="auto"/>
            <w:bottom w:val="none" w:sz="0" w:space="0" w:color="auto"/>
            <w:right w:val="none" w:sz="0" w:space="0" w:color="auto"/>
          </w:divBdr>
        </w:div>
        <w:div w:id="2096780357">
          <w:marLeft w:val="0"/>
          <w:marRight w:val="0"/>
          <w:marTop w:val="240"/>
          <w:marBottom w:val="240"/>
          <w:divBdr>
            <w:top w:val="none" w:sz="0" w:space="0" w:color="auto"/>
            <w:left w:val="none" w:sz="0" w:space="0" w:color="auto"/>
            <w:bottom w:val="none" w:sz="0" w:space="0" w:color="auto"/>
            <w:right w:val="none" w:sz="0" w:space="0" w:color="auto"/>
          </w:divBdr>
        </w:div>
        <w:div w:id="2106342159">
          <w:marLeft w:val="0"/>
          <w:marRight w:val="0"/>
          <w:marTop w:val="240"/>
          <w:marBottom w:val="240"/>
          <w:divBdr>
            <w:top w:val="none" w:sz="0" w:space="0" w:color="auto"/>
            <w:left w:val="none" w:sz="0" w:space="0" w:color="auto"/>
            <w:bottom w:val="none" w:sz="0" w:space="0" w:color="auto"/>
            <w:right w:val="none" w:sz="0" w:space="0" w:color="auto"/>
          </w:divBdr>
        </w:div>
        <w:div w:id="1274020172">
          <w:marLeft w:val="0"/>
          <w:marRight w:val="0"/>
          <w:marTop w:val="240"/>
          <w:marBottom w:val="240"/>
          <w:divBdr>
            <w:top w:val="none" w:sz="0" w:space="0" w:color="auto"/>
            <w:left w:val="none" w:sz="0" w:space="0" w:color="auto"/>
            <w:bottom w:val="none" w:sz="0" w:space="0" w:color="auto"/>
            <w:right w:val="none" w:sz="0" w:space="0" w:color="auto"/>
          </w:divBdr>
        </w:div>
        <w:div w:id="1492479507">
          <w:marLeft w:val="0"/>
          <w:marRight w:val="0"/>
          <w:marTop w:val="240"/>
          <w:marBottom w:val="240"/>
          <w:divBdr>
            <w:top w:val="none" w:sz="0" w:space="0" w:color="auto"/>
            <w:left w:val="none" w:sz="0" w:space="0" w:color="auto"/>
            <w:bottom w:val="none" w:sz="0" w:space="0" w:color="auto"/>
            <w:right w:val="none" w:sz="0" w:space="0" w:color="auto"/>
          </w:divBdr>
        </w:div>
        <w:div w:id="36273026">
          <w:marLeft w:val="0"/>
          <w:marRight w:val="0"/>
          <w:marTop w:val="240"/>
          <w:marBottom w:val="240"/>
          <w:divBdr>
            <w:top w:val="none" w:sz="0" w:space="0" w:color="auto"/>
            <w:left w:val="none" w:sz="0" w:space="0" w:color="auto"/>
            <w:bottom w:val="none" w:sz="0" w:space="0" w:color="auto"/>
            <w:right w:val="none" w:sz="0" w:space="0" w:color="auto"/>
          </w:divBdr>
        </w:div>
        <w:div w:id="1435443931">
          <w:marLeft w:val="0"/>
          <w:marRight w:val="0"/>
          <w:marTop w:val="240"/>
          <w:marBottom w:val="240"/>
          <w:divBdr>
            <w:top w:val="none" w:sz="0" w:space="0" w:color="auto"/>
            <w:left w:val="none" w:sz="0" w:space="0" w:color="auto"/>
            <w:bottom w:val="none" w:sz="0" w:space="0" w:color="auto"/>
            <w:right w:val="none" w:sz="0" w:space="0" w:color="auto"/>
          </w:divBdr>
        </w:div>
        <w:div w:id="1069771035">
          <w:marLeft w:val="0"/>
          <w:marRight w:val="0"/>
          <w:marTop w:val="240"/>
          <w:marBottom w:val="240"/>
          <w:divBdr>
            <w:top w:val="none" w:sz="0" w:space="0" w:color="auto"/>
            <w:left w:val="none" w:sz="0" w:space="0" w:color="auto"/>
            <w:bottom w:val="none" w:sz="0" w:space="0" w:color="auto"/>
            <w:right w:val="none" w:sz="0" w:space="0" w:color="auto"/>
          </w:divBdr>
        </w:div>
        <w:div w:id="1207332433">
          <w:marLeft w:val="0"/>
          <w:marRight w:val="0"/>
          <w:marTop w:val="240"/>
          <w:marBottom w:val="240"/>
          <w:divBdr>
            <w:top w:val="none" w:sz="0" w:space="0" w:color="auto"/>
            <w:left w:val="none" w:sz="0" w:space="0" w:color="auto"/>
            <w:bottom w:val="none" w:sz="0" w:space="0" w:color="auto"/>
            <w:right w:val="none" w:sz="0" w:space="0" w:color="auto"/>
          </w:divBdr>
        </w:div>
        <w:div w:id="1428113457">
          <w:marLeft w:val="0"/>
          <w:marRight w:val="0"/>
          <w:marTop w:val="240"/>
          <w:marBottom w:val="240"/>
          <w:divBdr>
            <w:top w:val="none" w:sz="0" w:space="0" w:color="auto"/>
            <w:left w:val="none" w:sz="0" w:space="0" w:color="auto"/>
            <w:bottom w:val="none" w:sz="0" w:space="0" w:color="auto"/>
            <w:right w:val="none" w:sz="0" w:space="0" w:color="auto"/>
          </w:divBdr>
        </w:div>
        <w:div w:id="512114828">
          <w:marLeft w:val="0"/>
          <w:marRight w:val="0"/>
          <w:marTop w:val="240"/>
          <w:marBottom w:val="240"/>
          <w:divBdr>
            <w:top w:val="none" w:sz="0" w:space="0" w:color="auto"/>
            <w:left w:val="none" w:sz="0" w:space="0" w:color="auto"/>
            <w:bottom w:val="none" w:sz="0" w:space="0" w:color="auto"/>
            <w:right w:val="none" w:sz="0" w:space="0" w:color="auto"/>
          </w:divBdr>
        </w:div>
        <w:div w:id="1683168204">
          <w:marLeft w:val="0"/>
          <w:marRight w:val="0"/>
          <w:marTop w:val="240"/>
          <w:marBottom w:val="240"/>
          <w:divBdr>
            <w:top w:val="none" w:sz="0" w:space="0" w:color="auto"/>
            <w:left w:val="none" w:sz="0" w:space="0" w:color="auto"/>
            <w:bottom w:val="none" w:sz="0" w:space="0" w:color="auto"/>
            <w:right w:val="none" w:sz="0" w:space="0" w:color="auto"/>
          </w:divBdr>
        </w:div>
        <w:div w:id="1979410749">
          <w:marLeft w:val="0"/>
          <w:marRight w:val="0"/>
          <w:marTop w:val="240"/>
          <w:marBottom w:val="240"/>
          <w:divBdr>
            <w:top w:val="none" w:sz="0" w:space="0" w:color="auto"/>
            <w:left w:val="none" w:sz="0" w:space="0" w:color="auto"/>
            <w:bottom w:val="none" w:sz="0" w:space="0" w:color="auto"/>
            <w:right w:val="none" w:sz="0" w:space="0" w:color="auto"/>
          </w:divBdr>
        </w:div>
        <w:div w:id="2069067341">
          <w:marLeft w:val="0"/>
          <w:marRight w:val="0"/>
          <w:marTop w:val="240"/>
          <w:marBottom w:val="240"/>
          <w:divBdr>
            <w:top w:val="none" w:sz="0" w:space="0" w:color="auto"/>
            <w:left w:val="none" w:sz="0" w:space="0" w:color="auto"/>
            <w:bottom w:val="none" w:sz="0" w:space="0" w:color="auto"/>
            <w:right w:val="none" w:sz="0" w:space="0" w:color="auto"/>
          </w:divBdr>
        </w:div>
        <w:div w:id="336924548">
          <w:marLeft w:val="0"/>
          <w:marRight w:val="0"/>
          <w:marTop w:val="240"/>
          <w:marBottom w:val="240"/>
          <w:divBdr>
            <w:top w:val="none" w:sz="0" w:space="0" w:color="auto"/>
            <w:left w:val="none" w:sz="0" w:space="0" w:color="auto"/>
            <w:bottom w:val="none" w:sz="0" w:space="0" w:color="auto"/>
            <w:right w:val="none" w:sz="0" w:space="0" w:color="auto"/>
          </w:divBdr>
        </w:div>
        <w:div w:id="1252466446">
          <w:marLeft w:val="0"/>
          <w:marRight w:val="0"/>
          <w:marTop w:val="240"/>
          <w:marBottom w:val="240"/>
          <w:divBdr>
            <w:top w:val="none" w:sz="0" w:space="0" w:color="auto"/>
            <w:left w:val="none" w:sz="0" w:space="0" w:color="auto"/>
            <w:bottom w:val="none" w:sz="0" w:space="0" w:color="auto"/>
            <w:right w:val="none" w:sz="0" w:space="0" w:color="auto"/>
          </w:divBdr>
        </w:div>
        <w:div w:id="1516311873">
          <w:marLeft w:val="0"/>
          <w:marRight w:val="0"/>
          <w:marTop w:val="240"/>
          <w:marBottom w:val="240"/>
          <w:divBdr>
            <w:top w:val="none" w:sz="0" w:space="0" w:color="auto"/>
            <w:left w:val="none" w:sz="0" w:space="0" w:color="auto"/>
            <w:bottom w:val="none" w:sz="0" w:space="0" w:color="auto"/>
            <w:right w:val="none" w:sz="0" w:space="0" w:color="auto"/>
          </w:divBdr>
        </w:div>
        <w:div w:id="1675957274">
          <w:marLeft w:val="0"/>
          <w:marRight w:val="0"/>
          <w:marTop w:val="240"/>
          <w:marBottom w:val="240"/>
          <w:divBdr>
            <w:top w:val="none" w:sz="0" w:space="0" w:color="auto"/>
            <w:left w:val="none" w:sz="0" w:space="0" w:color="auto"/>
            <w:bottom w:val="none" w:sz="0" w:space="0" w:color="auto"/>
            <w:right w:val="none" w:sz="0" w:space="0" w:color="auto"/>
          </w:divBdr>
        </w:div>
        <w:div w:id="1156603138">
          <w:marLeft w:val="0"/>
          <w:marRight w:val="0"/>
          <w:marTop w:val="240"/>
          <w:marBottom w:val="240"/>
          <w:divBdr>
            <w:top w:val="none" w:sz="0" w:space="0" w:color="auto"/>
            <w:left w:val="none" w:sz="0" w:space="0" w:color="auto"/>
            <w:bottom w:val="none" w:sz="0" w:space="0" w:color="auto"/>
            <w:right w:val="none" w:sz="0" w:space="0" w:color="auto"/>
          </w:divBdr>
        </w:div>
        <w:div w:id="770734877">
          <w:marLeft w:val="0"/>
          <w:marRight w:val="0"/>
          <w:marTop w:val="240"/>
          <w:marBottom w:val="240"/>
          <w:divBdr>
            <w:top w:val="none" w:sz="0" w:space="0" w:color="auto"/>
            <w:left w:val="none" w:sz="0" w:space="0" w:color="auto"/>
            <w:bottom w:val="none" w:sz="0" w:space="0" w:color="auto"/>
            <w:right w:val="none" w:sz="0" w:space="0" w:color="auto"/>
          </w:divBdr>
        </w:div>
        <w:div w:id="1109352611">
          <w:marLeft w:val="0"/>
          <w:marRight w:val="0"/>
          <w:marTop w:val="240"/>
          <w:marBottom w:val="240"/>
          <w:divBdr>
            <w:top w:val="none" w:sz="0" w:space="0" w:color="auto"/>
            <w:left w:val="none" w:sz="0" w:space="0" w:color="auto"/>
            <w:bottom w:val="none" w:sz="0" w:space="0" w:color="auto"/>
            <w:right w:val="none" w:sz="0" w:space="0" w:color="auto"/>
          </w:divBdr>
        </w:div>
        <w:div w:id="1622762177">
          <w:marLeft w:val="0"/>
          <w:marRight w:val="0"/>
          <w:marTop w:val="240"/>
          <w:marBottom w:val="240"/>
          <w:divBdr>
            <w:top w:val="none" w:sz="0" w:space="0" w:color="auto"/>
            <w:left w:val="none" w:sz="0" w:space="0" w:color="auto"/>
            <w:bottom w:val="none" w:sz="0" w:space="0" w:color="auto"/>
            <w:right w:val="none" w:sz="0" w:space="0" w:color="auto"/>
          </w:divBdr>
        </w:div>
      </w:divsChild>
    </w:div>
    <w:div w:id="844591377">
      <w:bodyDiv w:val="1"/>
      <w:marLeft w:val="0"/>
      <w:marRight w:val="0"/>
      <w:marTop w:val="0"/>
      <w:marBottom w:val="0"/>
      <w:divBdr>
        <w:top w:val="none" w:sz="0" w:space="0" w:color="auto"/>
        <w:left w:val="none" w:sz="0" w:space="0" w:color="auto"/>
        <w:bottom w:val="none" w:sz="0" w:space="0" w:color="auto"/>
        <w:right w:val="none" w:sz="0" w:space="0" w:color="auto"/>
      </w:divBdr>
    </w:div>
    <w:div w:id="1632202558">
      <w:bodyDiv w:val="1"/>
      <w:marLeft w:val="0"/>
      <w:marRight w:val="0"/>
      <w:marTop w:val="0"/>
      <w:marBottom w:val="0"/>
      <w:divBdr>
        <w:top w:val="none" w:sz="0" w:space="0" w:color="auto"/>
        <w:left w:val="none" w:sz="0" w:space="0" w:color="auto"/>
        <w:bottom w:val="none" w:sz="0" w:space="0" w:color="auto"/>
        <w:right w:val="none" w:sz="0" w:space="0" w:color="auto"/>
      </w:divBdr>
      <w:divsChild>
        <w:div w:id="1703438126">
          <w:marLeft w:val="0"/>
          <w:marRight w:val="0"/>
          <w:marTop w:val="240"/>
          <w:marBottom w:val="240"/>
          <w:divBdr>
            <w:top w:val="none" w:sz="0" w:space="0" w:color="auto"/>
            <w:left w:val="none" w:sz="0" w:space="0" w:color="auto"/>
            <w:bottom w:val="none" w:sz="0" w:space="0" w:color="auto"/>
            <w:right w:val="none" w:sz="0" w:space="0" w:color="auto"/>
          </w:divBdr>
        </w:div>
        <w:div w:id="1852598321">
          <w:marLeft w:val="0"/>
          <w:marRight w:val="0"/>
          <w:marTop w:val="240"/>
          <w:marBottom w:val="240"/>
          <w:divBdr>
            <w:top w:val="none" w:sz="0" w:space="0" w:color="auto"/>
            <w:left w:val="none" w:sz="0" w:space="0" w:color="auto"/>
            <w:bottom w:val="none" w:sz="0" w:space="0" w:color="auto"/>
            <w:right w:val="none" w:sz="0" w:space="0" w:color="auto"/>
          </w:divBdr>
        </w:div>
        <w:div w:id="1186746272">
          <w:marLeft w:val="0"/>
          <w:marRight w:val="0"/>
          <w:marTop w:val="240"/>
          <w:marBottom w:val="240"/>
          <w:divBdr>
            <w:top w:val="none" w:sz="0" w:space="0" w:color="auto"/>
            <w:left w:val="none" w:sz="0" w:space="0" w:color="auto"/>
            <w:bottom w:val="none" w:sz="0" w:space="0" w:color="auto"/>
            <w:right w:val="none" w:sz="0" w:space="0" w:color="auto"/>
          </w:divBdr>
        </w:div>
        <w:div w:id="1502310922">
          <w:marLeft w:val="0"/>
          <w:marRight w:val="0"/>
          <w:marTop w:val="240"/>
          <w:marBottom w:val="240"/>
          <w:divBdr>
            <w:top w:val="none" w:sz="0" w:space="0" w:color="auto"/>
            <w:left w:val="none" w:sz="0" w:space="0" w:color="auto"/>
            <w:bottom w:val="none" w:sz="0" w:space="0" w:color="auto"/>
            <w:right w:val="none" w:sz="0" w:space="0" w:color="auto"/>
          </w:divBdr>
        </w:div>
        <w:div w:id="104929514">
          <w:marLeft w:val="0"/>
          <w:marRight w:val="0"/>
          <w:marTop w:val="240"/>
          <w:marBottom w:val="240"/>
          <w:divBdr>
            <w:top w:val="none" w:sz="0" w:space="0" w:color="auto"/>
            <w:left w:val="none" w:sz="0" w:space="0" w:color="auto"/>
            <w:bottom w:val="none" w:sz="0" w:space="0" w:color="auto"/>
            <w:right w:val="none" w:sz="0" w:space="0" w:color="auto"/>
          </w:divBdr>
        </w:div>
        <w:div w:id="1641304410">
          <w:marLeft w:val="0"/>
          <w:marRight w:val="0"/>
          <w:marTop w:val="240"/>
          <w:marBottom w:val="240"/>
          <w:divBdr>
            <w:top w:val="none" w:sz="0" w:space="0" w:color="auto"/>
            <w:left w:val="none" w:sz="0" w:space="0" w:color="auto"/>
            <w:bottom w:val="none" w:sz="0" w:space="0" w:color="auto"/>
            <w:right w:val="none" w:sz="0" w:space="0" w:color="auto"/>
          </w:divBdr>
        </w:div>
        <w:div w:id="33817385">
          <w:marLeft w:val="0"/>
          <w:marRight w:val="0"/>
          <w:marTop w:val="240"/>
          <w:marBottom w:val="240"/>
          <w:divBdr>
            <w:top w:val="none" w:sz="0" w:space="0" w:color="auto"/>
            <w:left w:val="none" w:sz="0" w:space="0" w:color="auto"/>
            <w:bottom w:val="none" w:sz="0" w:space="0" w:color="auto"/>
            <w:right w:val="none" w:sz="0" w:space="0" w:color="auto"/>
          </w:divBdr>
        </w:div>
        <w:div w:id="833959627">
          <w:marLeft w:val="0"/>
          <w:marRight w:val="0"/>
          <w:marTop w:val="240"/>
          <w:marBottom w:val="240"/>
          <w:divBdr>
            <w:top w:val="none" w:sz="0" w:space="0" w:color="auto"/>
            <w:left w:val="none" w:sz="0" w:space="0" w:color="auto"/>
            <w:bottom w:val="none" w:sz="0" w:space="0" w:color="auto"/>
            <w:right w:val="none" w:sz="0" w:space="0" w:color="auto"/>
          </w:divBdr>
        </w:div>
        <w:div w:id="699086555">
          <w:marLeft w:val="0"/>
          <w:marRight w:val="0"/>
          <w:marTop w:val="240"/>
          <w:marBottom w:val="240"/>
          <w:divBdr>
            <w:top w:val="none" w:sz="0" w:space="0" w:color="auto"/>
            <w:left w:val="none" w:sz="0" w:space="0" w:color="auto"/>
            <w:bottom w:val="none" w:sz="0" w:space="0" w:color="auto"/>
            <w:right w:val="none" w:sz="0" w:space="0" w:color="auto"/>
          </w:divBdr>
        </w:div>
        <w:div w:id="2020501163">
          <w:marLeft w:val="0"/>
          <w:marRight w:val="0"/>
          <w:marTop w:val="240"/>
          <w:marBottom w:val="240"/>
          <w:divBdr>
            <w:top w:val="none" w:sz="0" w:space="0" w:color="auto"/>
            <w:left w:val="none" w:sz="0" w:space="0" w:color="auto"/>
            <w:bottom w:val="none" w:sz="0" w:space="0" w:color="auto"/>
            <w:right w:val="none" w:sz="0" w:space="0" w:color="auto"/>
          </w:divBdr>
        </w:div>
        <w:div w:id="1157460071">
          <w:marLeft w:val="0"/>
          <w:marRight w:val="0"/>
          <w:marTop w:val="240"/>
          <w:marBottom w:val="240"/>
          <w:divBdr>
            <w:top w:val="none" w:sz="0" w:space="0" w:color="auto"/>
            <w:left w:val="none" w:sz="0" w:space="0" w:color="auto"/>
            <w:bottom w:val="none" w:sz="0" w:space="0" w:color="auto"/>
            <w:right w:val="none" w:sz="0" w:space="0" w:color="auto"/>
          </w:divBdr>
        </w:div>
        <w:div w:id="1083532624">
          <w:marLeft w:val="0"/>
          <w:marRight w:val="0"/>
          <w:marTop w:val="240"/>
          <w:marBottom w:val="240"/>
          <w:divBdr>
            <w:top w:val="none" w:sz="0" w:space="0" w:color="auto"/>
            <w:left w:val="none" w:sz="0" w:space="0" w:color="auto"/>
            <w:bottom w:val="none" w:sz="0" w:space="0" w:color="auto"/>
            <w:right w:val="none" w:sz="0" w:space="0" w:color="auto"/>
          </w:divBdr>
        </w:div>
        <w:div w:id="1384254044">
          <w:marLeft w:val="0"/>
          <w:marRight w:val="0"/>
          <w:marTop w:val="240"/>
          <w:marBottom w:val="240"/>
          <w:divBdr>
            <w:top w:val="none" w:sz="0" w:space="0" w:color="auto"/>
            <w:left w:val="none" w:sz="0" w:space="0" w:color="auto"/>
            <w:bottom w:val="none" w:sz="0" w:space="0" w:color="auto"/>
            <w:right w:val="none" w:sz="0" w:space="0" w:color="auto"/>
          </w:divBdr>
        </w:div>
        <w:div w:id="157354318">
          <w:marLeft w:val="0"/>
          <w:marRight w:val="0"/>
          <w:marTop w:val="240"/>
          <w:marBottom w:val="240"/>
          <w:divBdr>
            <w:top w:val="none" w:sz="0" w:space="0" w:color="auto"/>
            <w:left w:val="none" w:sz="0" w:space="0" w:color="auto"/>
            <w:bottom w:val="none" w:sz="0" w:space="0" w:color="auto"/>
            <w:right w:val="none" w:sz="0" w:space="0" w:color="auto"/>
          </w:divBdr>
        </w:div>
        <w:div w:id="1879851028">
          <w:marLeft w:val="0"/>
          <w:marRight w:val="0"/>
          <w:marTop w:val="240"/>
          <w:marBottom w:val="240"/>
          <w:divBdr>
            <w:top w:val="none" w:sz="0" w:space="0" w:color="auto"/>
            <w:left w:val="none" w:sz="0" w:space="0" w:color="auto"/>
            <w:bottom w:val="none" w:sz="0" w:space="0" w:color="auto"/>
            <w:right w:val="none" w:sz="0" w:space="0" w:color="auto"/>
          </w:divBdr>
        </w:div>
        <w:div w:id="1626809408">
          <w:marLeft w:val="0"/>
          <w:marRight w:val="0"/>
          <w:marTop w:val="240"/>
          <w:marBottom w:val="240"/>
          <w:divBdr>
            <w:top w:val="none" w:sz="0" w:space="0" w:color="auto"/>
            <w:left w:val="none" w:sz="0" w:space="0" w:color="auto"/>
            <w:bottom w:val="none" w:sz="0" w:space="0" w:color="auto"/>
            <w:right w:val="none" w:sz="0" w:space="0" w:color="auto"/>
          </w:divBdr>
        </w:div>
        <w:div w:id="1039822653">
          <w:marLeft w:val="0"/>
          <w:marRight w:val="0"/>
          <w:marTop w:val="240"/>
          <w:marBottom w:val="240"/>
          <w:divBdr>
            <w:top w:val="none" w:sz="0" w:space="0" w:color="auto"/>
            <w:left w:val="none" w:sz="0" w:space="0" w:color="auto"/>
            <w:bottom w:val="none" w:sz="0" w:space="0" w:color="auto"/>
            <w:right w:val="none" w:sz="0" w:space="0" w:color="auto"/>
          </w:divBdr>
        </w:div>
        <w:div w:id="693459422">
          <w:marLeft w:val="0"/>
          <w:marRight w:val="0"/>
          <w:marTop w:val="240"/>
          <w:marBottom w:val="240"/>
          <w:divBdr>
            <w:top w:val="none" w:sz="0" w:space="0" w:color="auto"/>
            <w:left w:val="none" w:sz="0" w:space="0" w:color="auto"/>
            <w:bottom w:val="none" w:sz="0" w:space="0" w:color="auto"/>
            <w:right w:val="none" w:sz="0" w:space="0" w:color="auto"/>
          </w:divBdr>
        </w:div>
        <w:div w:id="977415034">
          <w:marLeft w:val="0"/>
          <w:marRight w:val="0"/>
          <w:marTop w:val="240"/>
          <w:marBottom w:val="240"/>
          <w:divBdr>
            <w:top w:val="none" w:sz="0" w:space="0" w:color="auto"/>
            <w:left w:val="none" w:sz="0" w:space="0" w:color="auto"/>
            <w:bottom w:val="none" w:sz="0" w:space="0" w:color="auto"/>
            <w:right w:val="none" w:sz="0" w:space="0" w:color="auto"/>
          </w:divBdr>
        </w:div>
        <w:div w:id="1837527656">
          <w:marLeft w:val="0"/>
          <w:marRight w:val="0"/>
          <w:marTop w:val="240"/>
          <w:marBottom w:val="240"/>
          <w:divBdr>
            <w:top w:val="none" w:sz="0" w:space="0" w:color="auto"/>
            <w:left w:val="none" w:sz="0" w:space="0" w:color="auto"/>
            <w:bottom w:val="none" w:sz="0" w:space="0" w:color="auto"/>
            <w:right w:val="none" w:sz="0" w:space="0" w:color="auto"/>
          </w:divBdr>
        </w:div>
        <w:div w:id="610936371">
          <w:marLeft w:val="0"/>
          <w:marRight w:val="0"/>
          <w:marTop w:val="240"/>
          <w:marBottom w:val="240"/>
          <w:divBdr>
            <w:top w:val="none" w:sz="0" w:space="0" w:color="auto"/>
            <w:left w:val="none" w:sz="0" w:space="0" w:color="auto"/>
            <w:bottom w:val="none" w:sz="0" w:space="0" w:color="auto"/>
            <w:right w:val="none" w:sz="0" w:space="0" w:color="auto"/>
          </w:divBdr>
        </w:div>
        <w:div w:id="1936327453">
          <w:marLeft w:val="0"/>
          <w:marRight w:val="0"/>
          <w:marTop w:val="240"/>
          <w:marBottom w:val="240"/>
          <w:divBdr>
            <w:top w:val="none" w:sz="0" w:space="0" w:color="auto"/>
            <w:left w:val="none" w:sz="0" w:space="0" w:color="auto"/>
            <w:bottom w:val="none" w:sz="0" w:space="0" w:color="auto"/>
            <w:right w:val="none" w:sz="0" w:space="0" w:color="auto"/>
          </w:divBdr>
        </w:div>
        <w:div w:id="1771663635">
          <w:marLeft w:val="0"/>
          <w:marRight w:val="0"/>
          <w:marTop w:val="240"/>
          <w:marBottom w:val="240"/>
          <w:divBdr>
            <w:top w:val="none" w:sz="0" w:space="0" w:color="auto"/>
            <w:left w:val="none" w:sz="0" w:space="0" w:color="auto"/>
            <w:bottom w:val="none" w:sz="0" w:space="0" w:color="auto"/>
            <w:right w:val="none" w:sz="0" w:space="0" w:color="auto"/>
          </w:divBdr>
        </w:div>
        <w:div w:id="568808480">
          <w:marLeft w:val="0"/>
          <w:marRight w:val="0"/>
          <w:marTop w:val="240"/>
          <w:marBottom w:val="240"/>
          <w:divBdr>
            <w:top w:val="none" w:sz="0" w:space="0" w:color="auto"/>
            <w:left w:val="none" w:sz="0" w:space="0" w:color="auto"/>
            <w:bottom w:val="none" w:sz="0" w:space="0" w:color="auto"/>
            <w:right w:val="none" w:sz="0" w:space="0" w:color="auto"/>
          </w:divBdr>
        </w:div>
        <w:div w:id="1861236659">
          <w:marLeft w:val="0"/>
          <w:marRight w:val="0"/>
          <w:marTop w:val="240"/>
          <w:marBottom w:val="240"/>
          <w:divBdr>
            <w:top w:val="none" w:sz="0" w:space="0" w:color="auto"/>
            <w:left w:val="none" w:sz="0" w:space="0" w:color="auto"/>
            <w:bottom w:val="none" w:sz="0" w:space="0" w:color="auto"/>
            <w:right w:val="none" w:sz="0" w:space="0" w:color="auto"/>
          </w:divBdr>
        </w:div>
        <w:div w:id="1467964748">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978-3-031-18923-4_6" TargetMode="External"/><Relationship Id="rId18" Type="http://schemas.openxmlformats.org/officeDocument/2006/relationships/hyperlink" Target="https://soilhealthbenchmarks.eu/glossary/" TargetMode="External"/><Relationship Id="rId26" Type="http://schemas.openxmlformats.org/officeDocument/2006/relationships/hyperlink" Target="https://doi.org/10.1080/10643389.2023.2228651" TargetMode="External"/><Relationship Id="rId39" Type="http://schemas.openxmlformats.org/officeDocument/2006/relationships/hyperlink" Target="https://www.who.int/teams/noncommunicable-diseases/sensory-functions-disability-and-rehabilitation/world-report-on-disability" TargetMode="External"/><Relationship Id="rId21" Type="http://schemas.openxmlformats.org/officeDocument/2006/relationships/hyperlink" Target="https://doi.org/10.1007/978-3-031-18923-4_6" TargetMode="External"/><Relationship Id="rId34" Type="http://schemas.openxmlformats.org/officeDocument/2006/relationships/hyperlink" Target="https://doi.org/10.1080/03004279.2023.2186972" TargetMode="External"/><Relationship Id="rId42" Type="http://schemas.openxmlformats.org/officeDocument/2006/relationships/hyperlink" Target="http://dx.doi.org/10.1201/b12500" TargetMode="External"/><Relationship Id="rId47" Type="http://schemas.openxmlformats.org/officeDocument/2006/relationships/hyperlink" Target="https://www.cbd.int/gbo5" TargetMode="External"/><Relationship Id="rId50" Type="http://schemas.openxmlformats.org/officeDocument/2006/relationships/hyperlink" Target="https://doi.org/10.1016/j.anifeedsci.2011.04.036"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nbsoil.eu/glossary/" TargetMode="External"/><Relationship Id="rId25" Type="http://schemas.openxmlformats.org/officeDocument/2006/relationships/hyperlink" Target="https://www.eurovia.org/wp-content/uploads/2016/11/defining-land-grabs.pdf" TargetMode="External"/><Relationship Id="rId33" Type="http://schemas.openxmlformats.org/officeDocument/2006/relationships/hyperlink" Target="https://doi.org/10.3389/fenvs.2022.1028839" TargetMode="External"/><Relationship Id="rId38" Type="http://schemas.openxmlformats.org/officeDocument/2006/relationships/hyperlink" Target="https://www.oed.com/search/dictionary" TargetMode="External"/><Relationship Id="rId46" Type="http://schemas.openxmlformats.org/officeDocument/2006/relationships/hyperlink" Target="https://doi.org/10.4060/cb4476en" TargetMode="External"/><Relationship Id="rId2" Type="http://schemas.openxmlformats.org/officeDocument/2006/relationships/customXml" Target="../customXml/item2.xml"/><Relationship Id="rId16" Type="http://schemas.openxmlformats.org/officeDocument/2006/relationships/hyperlink" Target="http://landmarkproject.eu/soil-functions-concept/" TargetMode="External"/><Relationship Id="rId20" Type="http://schemas.openxmlformats.org/officeDocument/2006/relationships/hyperlink" Target="https://landmarkproject.eu/landmark-glossary/" TargetMode="External"/><Relationship Id="rId29" Type="http://schemas.openxmlformats.org/officeDocument/2006/relationships/hyperlink" Target="https://doi.org/10.3390/agriculture10090394" TargetMode="External"/><Relationship Id="rId41" Type="http://schemas.openxmlformats.org/officeDocument/2006/relationships/hyperlink" Target="https://web.mit.edu/jrankin/www/interdisciplinary/interdisc_Newell.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ao.org/ag/ca/" TargetMode="External"/><Relationship Id="rId24" Type="http://schemas.openxmlformats.org/officeDocument/2006/relationships/hyperlink" Target="https://ohioline.osu.edu/factsheet/SAG-19" TargetMode="External"/><Relationship Id="rId32" Type="http://schemas.openxmlformats.org/officeDocument/2006/relationships/hyperlink" Target="https://doi.org/10.1108/jefas-12-2021-0267" TargetMode="External"/><Relationship Id="rId37" Type="http://schemas.openxmlformats.org/officeDocument/2006/relationships/hyperlink" Target="https://doi.org/10.26522/ssj.v15i2.2657" TargetMode="External"/><Relationship Id="rId40" Type="http://schemas.openxmlformats.org/officeDocument/2006/relationships/hyperlink" Target="https://www.uu.nl/en/research/transdisciplinary-field-guide/get-started/what-is-transdisciplinary-research" TargetMode="External"/><Relationship Id="rId45" Type="http://schemas.openxmlformats.org/officeDocument/2006/relationships/hyperlink" Target="https://doi.org/10.1371/journal.pone.0152637"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doi.org/10.3390/agronomy12112595" TargetMode="External"/><Relationship Id="rId28" Type="http://schemas.openxmlformats.org/officeDocument/2006/relationships/hyperlink" Target="https://doi.org/10.1038/s43247-024-01405-8" TargetMode="External"/><Relationship Id="rId36" Type="http://schemas.openxmlformats.org/officeDocument/2006/relationships/hyperlink" Target="https://techresearchonline.com/blog/10-new-ways-to-communicate-digitally-age-of-digital-technology/" TargetMode="External"/><Relationship Id="rId49" Type="http://schemas.openxmlformats.org/officeDocument/2006/relationships/hyperlink" Target="https://doi.org/10.2489/jswc.2020.0620A" TargetMode="External"/><Relationship Id="rId10" Type="http://schemas.openxmlformats.org/officeDocument/2006/relationships/endnotes" Target="endnotes.xml"/><Relationship Id="rId19" Type="http://schemas.openxmlformats.org/officeDocument/2006/relationships/hyperlink" Target="https://www.soilcare-project.eu/resources/glossary" TargetMode="External"/><Relationship Id="rId31" Type="http://schemas.openxmlformats.org/officeDocument/2006/relationships/hyperlink" Target="https://doi.org/10.1111/jvs.12727" TargetMode="External"/><Relationship Id="rId44" Type="http://schemas.openxmlformats.org/officeDocument/2006/relationships/hyperlink" Target="https://doi.org/10.1007/s11625-020-00794-x" TargetMode="External"/><Relationship Id="rId52" Type="http://schemas.openxmlformats.org/officeDocument/2006/relationships/hyperlink" Target="https://research-and-innovation.ec.europa.eu/knowledge-publications-tools-and-data/publications/all-publications/implementation-plans-eu-missions_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k.springer.com/chapter/10.1007/978-3-031-18923-4_6/figures/4" TargetMode="External"/><Relationship Id="rId22" Type="http://schemas.openxmlformats.org/officeDocument/2006/relationships/hyperlink" Target="https://link.springer.com/chapter/10.1007/978-3-031-18923-4_6" TargetMode="External"/><Relationship Id="rId27" Type="http://schemas.openxmlformats.org/officeDocument/2006/relationships/hyperlink" Target="https://www.landis.org.uk/downloads/downloads/Glossary.pdf" TargetMode="External"/><Relationship Id="rId30" Type="http://schemas.openxmlformats.org/officeDocument/2006/relationships/hyperlink" Target="https://doi.org/10.4236/AJPS.2018.99140" TargetMode="External"/><Relationship Id="rId35" Type="http://schemas.openxmlformats.org/officeDocument/2006/relationships/hyperlink" Target="https://www.sbcguidance.org/understand/social-and-behaviour-change-communication" TargetMode="External"/><Relationship Id="rId43" Type="http://schemas.openxmlformats.org/officeDocument/2006/relationships/hyperlink" Target="https://doi.org/10.1007/978-3-030-62397-5_26" TargetMode="External"/><Relationship Id="rId48" Type="http://schemas.openxmlformats.org/officeDocument/2006/relationships/hyperlink" Target="https://doi.org/10.1126/science.1097396"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millenniumassessment.org"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C78329-37B3-4325-A18E-19616F79389A}">
  <ds:schemaRefs>
    <ds:schemaRef ds:uri="http://schemas.openxmlformats.org/officeDocument/2006/bibliography"/>
  </ds:schemaRefs>
</ds:datastoreItem>
</file>

<file path=customXml/itemProps2.xml><?xml version="1.0" encoding="utf-8"?>
<ds:datastoreItem xmlns:ds="http://schemas.openxmlformats.org/officeDocument/2006/customXml" ds:itemID="{5E5CC1C9-4CA6-46E3-989B-F25CE603C456}">
  <ds:schemaRefs>
    <ds:schemaRef ds:uri="http://schemas.microsoft.com/office/2006/metadata/properties"/>
    <ds:schemaRef ds:uri="http://schemas.microsoft.com/office/infopath/2007/PartnerControls"/>
    <ds:schemaRef ds:uri="49b9c972-6c78-424e-8500-a22f256d764b"/>
    <ds:schemaRef ds:uri="664392dc-dad9-45cc-9b02-6ff2a8be1f79"/>
  </ds:schemaRefs>
</ds:datastoreItem>
</file>

<file path=customXml/itemProps3.xml><?xml version="1.0" encoding="utf-8"?>
<ds:datastoreItem xmlns:ds="http://schemas.openxmlformats.org/officeDocument/2006/customXml" ds:itemID="{D04048F9-D91E-44D1-A653-6F03FCF83171}"/>
</file>

<file path=customXml/itemProps4.xml><?xml version="1.0" encoding="utf-8"?>
<ds:datastoreItem xmlns:ds="http://schemas.openxmlformats.org/officeDocument/2006/customXml" ds:itemID="{1BF969EB-EA69-467B-AFCE-2832D0B145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9478</Words>
  <Characters>52129</Characters>
  <Application>Microsoft Office Word</Application>
  <DocSecurity>0</DocSecurity>
  <Lines>434</Lines>
  <Paragraphs>122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Santolalla</dc:creator>
  <cp:lastModifiedBy>Janire Domínguez Azcue</cp:lastModifiedBy>
  <cp:revision>5</cp:revision>
  <dcterms:created xsi:type="dcterms:W3CDTF">2025-03-24T12:06:00Z</dcterms:created>
  <dcterms:modified xsi:type="dcterms:W3CDTF">2025-04-11T18:50:00Z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y fmtid="{D5CDD505-2E9C-101B-9397-08002B2CF9AE}" pid="3" name="MediaServiceImageTags">
    <vt:lpwstr/>
  </property>
</Properties>
</file>