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E47091"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E47091"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E47091"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E47091">
        <w:rPr>
          <w:rFonts w:ascii="Times New Roman" w:eastAsiaTheme="minorEastAsia" w:hAnsi="Times New Roman" w:cs="Times New Roman"/>
          <w:b/>
          <w:bCs/>
          <w:color w:val="8DD873" w:themeColor="accent6" w:themeTint="99"/>
          <w:kern w:val="24"/>
          <w:position w:val="1"/>
          <w:sz w:val="56"/>
          <w:szCs w:val="56"/>
          <w:lang w:val="it" w:eastAsia="pl-PL"/>
        </w:rPr>
        <w:t>Glossario dei termini</w:t>
      </w:r>
    </w:p>
    <w:p w14:paraId="1838F654" w14:textId="77777777" w:rsidR="00040F5F" w:rsidRPr="00E47091"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eGrid"/>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62"/>
        <w:gridCol w:w="1469"/>
        <w:gridCol w:w="5615"/>
        <w:gridCol w:w="616"/>
      </w:tblGrid>
      <w:tr w:rsidR="002A67F8" w:rsidRPr="00E47091" w14:paraId="54E40605" w14:textId="77777777" w:rsidTr="2C6C7817">
        <w:tc>
          <w:tcPr>
            <w:tcW w:w="2062" w:type="dxa"/>
          </w:tcPr>
          <w:p w14:paraId="5C4EC49D" w14:textId="77777777" w:rsidR="002A67F8" w:rsidRPr="00E47091"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E47091" w:rsidRDefault="002A67F8" w:rsidP="002A67F8">
            <w:pPr>
              <w:jc w:val="center"/>
              <w:rPr>
                <w:rFonts w:ascii="Times New Roman" w:hAnsi="Times New Roman" w:cs="Times New Roman"/>
                <w:lang w:val="en-GB"/>
              </w:rPr>
            </w:pPr>
          </w:p>
        </w:tc>
        <w:tc>
          <w:tcPr>
            <w:tcW w:w="5615" w:type="dxa"/>
          </w:tcPr>
          <w:p w14:paraId="3B30FB8A" w14:textId="77777777" w:rsidR="002A67F8" w:rsidRPr="00E47091" w:rsidRDefault="002A67F8" w:rsidP="002A67F8">
            <w:pPr>
              <w:jc w:val="center"/>
              <w:rPr>
                <w:rFonts w:ascii="Times New Roman" w:hAnsi="Times New Roman" w:cs="Times New Roman"/>
                <w:lang w:val="en-GB"/>
              </w:rPr>
            </w:pPr>
          </w:p>
        </w:tc>
        <w:tc>
          <w:tcPr>
            <w:tcW w:w="616" w:type="dxa"/>
          </w:tcPr>
          <w:p w14:paraId="612EA104" w14:textId="77777777" w:rsidR="002A67F8" w:rsidRPr="00E47091" w:rsidRDefault="002A67F8" w:rsidP="002A67F8">
            <w:pPr>
              <w:jc w:val="center"/>
              <w:rPr>
                <w:rFonts w:ascii="Times New Roman" w:hAnsi="Times New Roman" w:cs="Times New Roman"/>
                <w:lang w:val="en-GB"/>
              </w:rPr>
            </w:pPr>
          </w:p>
        </w:tc>
      </w:tr>
      <w:tr w:rsidR="00864757" w:rsidRPr="00E47091" w14:paraId="38D4122B" w14:textId="77777777" w:rsidTr="2C6C7817">
        <w:tc>
          <w:tcPr>
            <w:tcW w:w="2062" w:type="dxa"/>
          </w:tcPr>
          <w:p w14:paraId="7708A36E" w14:textId="77777777" w:rsidR="00864757" w:rsidRPr="00E47091" w:rsidRDefault="00864757" w:rsidP="00A655ED">
            <w:pPr>
              <w:rPr>
                <w:rFonts w:ascii="Times New Roman" w:hAnsi="Times New Roman" w:cs="Times New Roman"/>
                <w:b/>
                <w:color w:val="BF4E14" w:themeColor="accent2" w:themeShade="BF"/>
                <w:lang w:val="en-GB"/>
              </w:rPr>
            </w:pPr>
            <w:r w:rsidRPr="00E47091">
              <w:rPr>
                <w:rFonts w:ascii="Times New Roman" w:hAnsi="Times New Roman" w:cs="Times New Roman"/>
                <w:b/>
                <w:color w:val="3A7C22" w:themeColor="accent6" w:themeShade="BF"/>
                <w:lang w:val="it"/>
              </w:rPr>
              <w:t>Accaparramento delle terre</w:t>
            </w:r>
          </w:p>
        </w:tc>
        <w:tc>
          <w:tcPr>
            <w:tcW w:w="1469" w:type="dxa"/>
          </w:tcPr>
          <w:p w14:paraId="21729C9D" w14:textId="77777777" w:rsidR="00864757" w:rsidRPr="00E47091" w:rsidRDefault="00864757" w:rsidP="00A655ED">
            <w:pPr>
              <w:jc w:val="both"/>
              <w:rPr>
                <w:rFonts w:ascii="Times New Roman" w:hAnsi="Times New Roman" w:cs="Times New Roman"/>
                <w:lang w:val="en-GB"/>
              </w:rPr>
            </w:pPr>
          </w:p>
        </w:tc>
        <w:tc>
          <w:tcPr>
            <w:tcW w:w="5615" w:type="dxa"/>
          </w:tcPr>
          <w:p w14:paraId="44EEEB02"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L'accaparramento delle terre è il controllo che avviene attraverso la proprietà, la locazione, la concessione, i contratti, le quote o il potere generale di quantità di terra maggiori di quelle tipiche a livello locale da parte di qualsiasi persona o entità - pubblica o privata, straniera o nazionale - con qualsiasi mezzo - ‘legale’ o ‘illegale’ - a fini di speculazione, estrazione, controllo o mercificazione a spese degli agricoltori locali, dell'agroecologia, della gestione della terra, della sovranità alimentare e dei diritti umani.</w:t>
            </w:r>
          </w:p>
        </w:tc>
        <w:tc>
          <w:tcPr>
            <w:tcW w:w="616" w:type="dxa"/>
          </w:tcPr>
          <w:p w14:paraId="1CBA7981"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11</w:t>
            </w:r>
          </w:p>
        </w:tc>
      </w:tr>
      <w:tr w:rsidR="00864757" w:rsidRPr="00E47091" w14:paraId="0EDDCA48" w14:textId="77777777" w:rsidTr="2C6C7817">
        <w:tc>
          <w:tcPr>
            <w:tcW w:w="2062" w:type="dxa"/>
          </w:tcPr>
          <w:p w14:paraId="3AC9E053"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Accessibilità</w:t>
            </w:r>
          </w:p>
        </w:tc>
        <w:tc>
          <w:tcPr>
            <w:tcW w:w="1469" w:type="dxa"/>
          </w:tcPr>
          <w:p w14:paraId="6DAFAEC9" w14:textId="77777777" w:rsidR="00864757" w:rsidRPr="00E47091" w:rsidRDefault="00864757" w:rsidP="00A655ED">
            <w:pPr>
              <w:jc w:val="both"/>
              <w:rPr>
                <w:rFonts w:ascii="Times New Roman" w:hAnsi="Times New Roman" w:cs="Times New Roman"/>
                <w:lang w:val="en-GB"/>
              </w:rPr>
            </w:pPr>
          </w:p>
        </w:tc>
        <w:tc>
          <w:tcPr>
            <w:tcW w:w="5615" w:type="dxa"/>
          </w:tcPr>
          <w:p w14:paraId="07D13EAC"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Progettazione di prodotti, dispositivi, servizi o ambienti per persone con disabilità. Implica la facilità con cui gli individui possono accedere e trarre vantaggio da varie risorse, tra cui spazi fisici, contenuti digitali e servizi informativi. L'accessibilità mira a garantire che tutti gli individui, indipendentemente dalle loro capacità o disabilità, abbiano pari opportunità di partecipare alla società. In senso più ampio, include la fruibilità di ambienti e servizi da parte di persone con bisogni diversi. Questo concetto è fondamentale in vari campi come l'architettura, il web design, l'istruzione e le politiche pubbliche.</w:t>
            </w:r>
          </w:p>
        </w:tc>
        <w:tc>
          <w:tcPr>
            <w:tcW w:w="616" w:type="dxa"/>
          </w:tcPr>
          <w:p w14:paraId="015E0476"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30</w:t>
            </w:r>
          </w:p>
        </w:tc>
      </w:tr>
      <w:tr w:rsidR="00864757" w:rsidRPr="00E47091" w14:paraId="7B093C9A" w14:textId="77777777" w:rsidTr="2C6C7817">
        <w:tc>
          <w:tcPr>
            <w:tcW w:w="2062" w:type="dxa"/>
          </w:tcPr>
          <w:p w14:paraId="6DA5F476" w14:textId="77777777" w:rsidR="00864757" w:rsidRPr="00E47091" w:rsidRDefault="00864757" w:rsidP="4F734429">
            <w:pPr>
              <w:rPr>
                <w:rFonts w:ascii="Times New Roman" w:hAnsi="Times New Roman" w:cs="Times New Roman"/>
                <w:b/>
                <w:bCs/>
                <w:color w:val="3A7C22" w:themeColor="accent6" w:themeShade="BF"/>
                <w:lang w:val="en-GB"/>
              </w:rPr>
            </w:pPr>
            <w:r w:rsidRPr="00E47091">
              <w:rPr>
                <w:rFonts w:ascii="Times New Roman" w:hAnsi="Times New Roman" w:cs="Times New Roman"/>
                <w:b/>
                <w:bCs/>
                <w:color w:val="3A7C22" w:themeColor="accent6" w:themeShade="BF"/>
                <w:lang w:val="it"/>
              </w:rPr>
              <w:t>Acidificazione</w:t>
            </w:r>
          </w:p>
        </w:tc>
        <w:tc>
          <w:tcPr>
            <w:tcW w:w="1469" w:type="dxa"/>
          </w:tcPr>
          <w:p w14:paraId="12A04313" w14:textId="77777777" w:rsidR="00864757" w:rsidRPr="00E47091" w:rsidRDefault="00864757" w:rsidP="002A67F8">
            <w:pPr>
              <w:jc w:val="both"/>
              <w:rPr>
                <w:rFonts w:ascii="Times New Roman" w:hAnsi="Times New Roman" w:cs="Times New Roman"/>
                <w:lang w:val="en-GB"/>
              </w:rPr>
            </w:pPr>
          </w:p>
        </w:tc>
        <w:tc>
          <w:tcPr>
            <w:tcW w:w="5615" w:type="dxa"/>
          </w:tcPr>
          <w:p w14:paraId="2939F6DC" w14:textId="77777777" w:rsidR="00864757" w:rsidRPr="00E47091" w:rsidRDefault="00864757" w:rsidP="002A67F8">
            <w:pPr>
              <w:jc w:val="both"/>
              <w:rPr>
                <w:rFonts w:ascii="Times New Roman" w:hAnsi="Times New Roman" w:cs="Times New Roman"/>
                <w:lang w:val="it-IT"/>
              </w:rPr>
            </w:pPr>
            <w:bookmarkStart w:id="0" w:name="_Hlk187700470"/>
            <w:r w:rsidRPr="00E47091">
              <w:rPr>
                <w:rFonts w:ascii="Times New Roman" w:hAnsi="Times New Roman" w:cs="Times New Roman"/>
                <w:lang w:val="it"/>
              </w:rPr>
              <w:t>Processo mediante il quale la concentrazione di ioni idrogeno nel suolo aumenta gradualmente, a causa della rimozione di ioni leggermente alcalini con la coltivazione, della lisciviazione e dell'utilizzo di fertilizzanti azotati (N) di tipo acidificante. Questo processo è accelerato o non sufficientemente compensato dai componenti naturali del suolo, compreso il materiale parentale.</w:t>
            </w:r>
            <w:bookmarkEnd w:id="0"/>
          </w:p>
        </w:tc>
        <w:tc>
          <w:tcPr>
            <w:tcW w:w="616" w:type="dxa"/>
          </w:tcPr>
          <w:p w14:paraId="2FC03049"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25DEB025" w14:textId="77777777" w:rsidTr="2C6C7817">
        <w:tc>
          <w:tcPr>
            <w:tcW w:w="2062" w:type="dxa"/>
          </w:tcPr>
          <w:p w14:paraId="2C66E937" w14:textId="77777777" w:rsidR="00864757" w:rsidRPr="00864757" w:rsidRDefault="00864757" w:rsidP="002A67F8">
            <w:pPr>
              <w:rPr>
                <w:rFonts w:ascii="Times New Roman" w:hAnsi="Times New Roman" w:cs="Times New Roman"/>
                <w:b/>
                <w:color w:val="3A7C22" w:themeColor="accent6" w:themeShade="BF"/>
                <w:lang w:val="it-IT"/>
              </w:rPr>
            </w:pPr>
            <w:r w:rsidRPr="00E47091">
              <w:rPr>
                <w:rFonts w:ascii="Times New Roman" w:hAnsi="Times New Roman" w:cs="Times New Roman"/>
                <w:b/>
                <w:color w:val="3A7C22" w:themeColor="accent6" w:themeShade="BF"/>
                <w:lang w:val="it"/>
              </w:rPr>
              <w:t>Acqua disponibile per le piante</w:t>
            </w:r>
          </w:p>
        </w:tc>
        <w:tc>
          <w:tcPr>
            <w:tcW w:w="1469" w:type="dxa"/>
          </w:tcPr>
          <w:p w14:paraId="030DB3D5" w14:textId="77777777" w:rsidR="00864757" w:rsidRPr="00864757" w:rsidRDefault="00864757" w:rsidP="00525540">
            <w:pPr>
              <w:jc w:val="both"/>
              <w:rPr>
                <w:rFonts w:ascii="Times New Roman" w:hAnsi="Times New Roman" w:cs="Times New Roman"/>
                <w:lang w:val="it-IT"/>
              </w:rPr>
            </w:pPr>
          </w:p>
        </w:tc>
        <w:tc>
          <w:tcPr>
            <w:tcW w:w="5615" w:type="dxa"/>
          </w:tcPr>
          <w:p w14:paraId="3FB8A57B"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Quantità totale di acqua nella zona delle radici disponibile per l'evapotraspirazione. È l'acqua trattenuta nel terreno tra gli stati di capacità di campo e punto di appassimento permanente. Si esprime di solito in mm. Maggiore è la quantità di acqua disponibile per le piante, maggiori saranno la produttività e l'attività biologica del suolo. </w:t>
            </w:r>
          </w:p>
          <w:p w14:paraId="29B134E2"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Illustrazione grafica dell'effetto della granulometria del suolo sulla capacità idrica disponibile per le piante secondo Hantley (2023; 5)</w:t>
            </w:r>
          </w:p>
          <w:p w14:paraId="0E467A60" w14:textId="77777777" w:rsidR="00864757" w:rsidRPr="00864757" w:rsidRDefault="00864757" w:rsidP="00525540">
            <w:pPr>
              <w:jc w:val="both"/>
              <w:rPr>
                <w:rFonts w:ascii="Times New Roman" w:hAnsi="Times New Roman" w:cs="Times New Roman"/>
                <w:lang w:val="it-IT"/>
              </w:rPr>
            </w:pPr>
          </w:p>
          <w:p w14:paraId="40D17829" w14:textId="77777777" w:rsidR="00864757" w:rsidRPr="00E47091" w:rsidRDefault="00864757" w:rsidP="00525540">
            <w:pPr>
              <w:jc w:val="both"/>
              <w:rPr>
                <w:rFonts w:ascii="Times New Roman" w:hAnsi="Times New Roman" w:cs="Times New Roman"/>
                <w:lang w:val="en-GB"/>
              </w:rPr>
            </w:pPr>
            <w:r w:rsidRPr="00E47091">
              <w:rPr>
                <w:rFonts w:ascii="Times New Roman" w:hAnsi="Times New Roman" w:cs="Times New Roman"/>
                <w:noProof/>
                <w:lang w:val="it"/>
              </w:rPr>
              <w:lastRenderedPageBreak/>
              <w:drawing>
                <wp:inline distT="0" distB="0" distL="0" distR="0" wp14:anchorId="797B8B76" wp14:editId="13A238F0">
                  <wp:extent cx="3428736" cy="287918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8819" cy="2896051"/>
                          </a:xfrm>
                          <a:prstGeom prst="rect">
                            <a:avLst/>
                          </a:prstGeom>
                        </pic:spPr>
                      </pic:pic>
                    </a:graphicData>
                  </a:graphic>
                </wp:inline>
              </w:drawing>
            </w:r>
          </w:p>
          <w:p w14:paraId="3EFB9B14" w14:textId="77777777" w:rsidR="00864757" w:rsidRPr="00E47091" w:rsidRDefault="00864757" w:rsidP="00525540">
            <w:pPr>
              <w:jc w:val="both"/>
              <w:rPr>
                <w:rFonts w:ascii="Times New Roman" w:hAnsi="Times New Roman" w:cs="Times New Roman"/>
                <w:lang w:val="en-GB"/>
              </w:rPr>
            </w:pPr>
            <w:r w:rsidRPr="00E47091">
              <w:rPr>
                <w:rFonts w:ascii="Times New Roman" w:hAnsi="Times New Roman" w:cs="Times New Roman"/>
                <w:color w:val="000000" w:themeColor="text1"/>
                <w:shd w:val="clear" w:color="auto" w:fill="FFFFFF"/>
                <w:lang w:val="it"/>
              </w:rPr>
              <w:t xml:space="preserve">Fonte: Huntley (2023). Springer, Cham. </w:t>
            </w:r>
            <w:hyperlink r:id="rId12" w:history="1">
              <w:r w:rsidRPr="00E47091">
                <w:rPr>
                  <w:rStyle w:val="Hyperlink"/>
                  <w:rFonts w:ascii="Times New Roman" w:hAnsi="Times New Roman" w:cs="Times New Roman"/>
                  <w:color w:val="000000" w:themeColor="text1"/>
                  <w:shd w:val="clear" w:color="auto" w:fill="FFFFFF"/>
                  <w:lang w:val="it"/>
                </w:rPr>
                <w:t>https://doi.org/10.1007/978-3-031-18923-4_6</w:t>
              </w:r>
            </w:hyperlink>
            <w:r w:rsidRPr="00E47091">
              <w:rPr>
                <w:rStyle w:val="Hyperlink"/>
                <w:rFonts w:ascii="Times New Roman" w:hAnsi="Times New Roman" w:cs="Times New Roman"/>
                <w:color w:val="000000" w:themeColor="text1"/>
                <w:shd w:val="clear" w:color="auto" w:fill="FFFFFF"/>
                <w:lang w:val="it"/>
              </w:rPr>
              <w:t>,</w:t>
            </w:r>
            <w:r w:rsidRPr="00E47091">
              <w:rPr>
                <w:rStyle w:val="Hyperlink"/>
                <w:color w:val="000000" w:themeColor="text1"/>
                <w:shd w:val="clear" w:color="auto" w:fill="FFFFFF"/>
                <w:lang w:val="it"/>
              </w:rPr>
              <w:t xml:space="preserve"> </w:t>
            </w:r>
            <w:hyperlink r:id="rId13" w:history="1">
              <w:r w:rsidRPr="00E47091">
                <w:rPr>
                  <w:rStyle w:val="Hyperlink"/>
                  <w:rFonts w:ascii="Times New Roman" w:hAnsi="Times New Roman" w:cs="Times New Roman"/>
                  <w:lang w:val="it"/>
                </w:rPr>
                <w:t>https://link.springer.com/chapter/10.1007/978-3-031-18923-4_6/figures/4</w:t>
              </w:r>
            </w:hyperlink>
          </w:p>
        </w:tc>
        <w:tc>
          <w:tcPr>
            <w:tcW w:w="616" w:type="dxa"/>
          </w:tcPr>
          <w:p w14:paraId="55793478"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3, 4, 5</w:t>
            </w:r>
          </w:p>
        </w:tc>
      </w:tr>
      <w:tr w:rsidR="00864757" w:rsidRPr="00E47091" w14:paraId="11EB2643" w14:textId="77777777" w:rsidTr="2C6C7817">
        <w:tc>
          <w:tcPr>
            <w:tcW w:w="2062" w:type="dxa"/>
          </w:tcPr>
          <w:p w14:paraId="6B183908"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Acque sotterranee</w:t>
            </w:r>
          </w:p>
        </w:tc>
        <w:tc>
          <w:tcPr>
            <w:tcW w:w="1469" w:type="dxa"/>
          </w:tcPr>
          <w:p w14:paraId="1B50CD96" w14:textId="77777777" w:rsidR="00864757" w:rsidRPr="00E47091" w:rsidRDefault="00864757" w:rsidP="00525540">
            <w:pPr>
              <w:jc w:val="both"/>
              <w:rPr>
                <w:rFonts w:ascii="Times New Roman" w:hAnsi="Times New Roman" w:cs="Times New Roman"/>
                <w:lang w:val="en-GB"/>
              </w:rPr>
            </w:pPr>
          </w:p>
        </w:tc>
        <w:tc>
          <w:tcPr>
            <w:tcW w:w="5615" w:type="dxa"/>
          </w:tcPr>
          <w:p w14:paraId="05EBB9B4"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Acqua dolce che si trova sotto la superficie terrestre e che riempie in modo contiguo le cavità della crosta terrestre (pori, fessure nel terreno, sabbia e roccia) e che rifornisce pozzi e sorgenti, escludendo l'acqua nella zona vadosa (insatura). La definizione si applica a tutti i depositi idrici permanenti e temporanei, formati sia artificialmente sia naturalmente, di qualità sufficiente per un utilizzo almeno stagionale. Le riserve di acqua sotterranea vengono ripristinate o ricaricate dalla pioggia e dallo scioglimento della neve, a seconda delle condizioni climatiche. Di solito si possono recuperare da o attraverso una formazione sotterranea.</w:t>
            </w:r>
          </w:p>
        </w:tc>
        <w:tc>
          <w:tcPr>
            <w:tcW w:w="616" w:type="dxa"/>
          </w:tcPr>
          <w:p w14:paraId="3F3FE96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101A4687" w14:textId="77777777" w:rsidTr="2C6C7817">
        <w:tc>
          <w:tcPr>
            <w:tcW w:w="2062" w:type="dxa"/>
          </w:tcPr>
          <w:p w14:paraId="05279124" w14:textId="77777777" w:rsidR="00864757" w:rsidRPr="00E47091" w:rsidRDefault="00864757" w:rsidP="4F734429">
            <w:pPr>
              <w:rPr>
                <w:rFonts w:ascii="Times New Roman" w:hAnsi="Times New Roman" w:cs="Times New Roman"/>
                <w:b/>
                <w:bCs/>
                <w:color w:val="3A7C22" w:themeColor="accent6" w:themeShade="BF"/>
                <w:lang w:val="en-GB"/>
              </w:rPr>
            </w:pPr>
            <w:r w:rsidRPr="00E47091">
              <w:rPr>
                <w:rFonts w:ascii="Times New Roman" w:hAnsi="Times New Roman" w:cs="Times New Roman"/>
                <w:b/>
                <w:bCs/>
                <w:color w:val="3A7C22" w:themeColor="accent6" w:themeShade="BF"/>
                <w:lang w:val="it"/>
              </w:rPr>
              <w:t>Adsorbimento</w:t>
            </w:r>
          </w:p>
        </w:tc>
        <w:tc>
          <w:tcPr>
            <w:tcW w:w="1469" w:type="dxa"/>
          </w:tcPr>
          <w:p w14:paraId="59F7B96A" w14:textId="77777777" w:rsidR="00864757" w:rsidRPr="00E47091" w:rsidRDefault="00864757" w:rsidP="002A67F8">
            <w:pPr>
              <w:jc w:val="both"/>
              <w:rPr>
                <w:rFonts w:ascii="Times New Roman" w:hAnsi="Times New Roman" w:cs="Times New Roman"/>
                <w:lang w:val="en-GB"/>
              </w:rPr>
            </w:pPr>
          </w:p>
        </w:tc>
        <w:tc>
          <w:tcPr>
            <w:tcW w:w="5615" w:type="dxa"/>
          </w:tcPr>
          <w:p w14:paraId="0F90FF36"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Procedimento mediante il quale atomi, molecole o ioni vengono trattenuti sulla superficie di solidi mediante legami chimici o fisici. L'adsorbimento si basa sull'adsorbimento di vapori, gas e molecole non dissociate.</w:t>
            </w:r>
          </w:p>
        </w:tc>
        <w:tc>
          <w:tcPr>
            <w:tcW w:w="616" w:type="dxa"/>
          </w:tcPr>
          <w:p w14:paraId="489B7D14"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0722677C" w14:textId="77777777" w:rsidTr="2C6C7817">
        <w:tc>
          <w:tcPr>
            <w:tcW w:w="2062" w:type="dxa"/>
          </w:tcPr>
          <w:p w14:paraId="5B106FD9"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Aggregati del suolo</w:t>
            </w:r>
          </w:p>
        </w:tc>
        <w:tc>
          <w:tcPr>
            <w:tcW w:w="1469" w:type="dxa"/>
          </w:tcPr>
          <w:p w14:paraId="209FCAA0" w14:textId="77777777" w:rsidR="00864757" w:rsidRPr="00E47091" w:rsidRDefault="00864757" w:rsidP="00525540">
            <w:pPr>
              <w:jc w:val="both"/>
              <w:rPr>
                <w:rFonts w:ascii="Times New Roman" w:hAnsi="Times New Roman" w:cs="Times New Roman"/>
                <w:lang w:val="en-GB"/>
              </w:rPr>
            </w:pPr>
          </w:p>
        </w:tc>
        <w:tc>
          <w:tcPr>
            <w:tcW w:w="5615" w:type="dxa"/>
          </w:tcPr>
          <w:p w14:paraId="2D2D1A18"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Gli aggregati del suolo sono costituiti da due o più particelle di terreno legate tra loro da varie forze. Gli aggregati del suolo sono particelle di terreno di varie forme e dimensioni.</w:t>
            </w:r>
          </w:p>
        </w:tc>
        <w:tc>
          <w:tcPr>
            <w:tcW w:w="616" w:type="dxa"/>
          </w:tcPr>
          <w:p w14:paraId="364EC683"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7A0B4C03" w14:textId="77777777" w:rsidTr="2C6C7817">
        <w:tc>
          <w:tcPr>
            <w:tcW w:w="2062" w:type="dxa"/>
          </w:tcPr>
          <w:p w14:paraId="4DE8B5FF"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Agricoltura</w:t>
            </w:r>
          </w:p>
        </w:tc>
        <w:tc>
          <w:tcPr>
            <w:tcW w:w="1469" w:type="dxa"/>
          </w:tcPr>
          <w:p w14:paraId="739AC915" w14:textId="77777777" w:rsidR="00864757" w:rsidRPr="00E47091" w:rsidRDefault="00864757" w:rsidP="002A67F8">
            <w:pPr>
              <w:jc w:val="both"/>
              <w:rPr>
                <w:rFonts w:ascii="Times New Roman" w:hAnsi="Times New Roman" w:cs="Times New Roman"/>
                <w:lang w:val="en-GB"/>
              </w:rPr>
            </w:pPr>
          </w:p>
        </w:tc>
        <w:tc>
          <w:tcPr>
            <w:tcW w:w="5615" w:type="dxa"/>
          </w:tcPr>
          <w:p w14:paraId="1421157B"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color w:val="404040" w:themeColor="text1" w:themeTint="BF"/>
                <w:lang w:val="it"/>
              </w:rPr>
              <w:t>Per agricoltura si intende la scienza, l'arte e la pratica della coltivazione di piante e dell'allevamento di animali per ottenere cibo, fibre, piante medicinali e altri prodotti utilizzati per sostenere e migliorare la vita umana. L’agricoltura comprende un'ampia gamma di attività, tra cui preparazione del suolo, semina, irrigazione, controllo dei parassiti, stagione della raccolta e gestione del bestiame. L'agricoltura è una componente fondamentale della civiltà umana, poiché è la fonte principale di cibo e fornisce materie prime per le industrie. Svolge inoltre un ruolo fondamentale nello sviluppo economico, nella gestione ambientale e nelle pratiche culturali.</w:t>
            </w:r>
          </w:p>
        </w:tc>
        <w:tc>
          <w:tcPr>
            <w:tcW w:w="616" w:type="dxa"/>
          </w:tcPr>
          <w:p w14:paraId="5441C40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38</w:t>
            </w:r>
          </w:p>
        </w:tc>
      </w:tr>
      <w:tr w:rsidR="00864757" w:rsidRPr="00E47091" w14:paraId="2D62B94F" w14:textId="77777777" w:rsidTr="2C6C7817">
        <w:tc>
          <w:tcPr>
            <w:tcW w:w="2062" w:type="dxa"/>
          </w:tcPr>
          <w:p w14:paraId="1E7003C1"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Agricoltura biologica</w:t>
            </w:r>
          </w:p>
        </w:tc>
        <w:tc>
          <w:tcPr>
            <w:tcW w:w="1469" w:type="dxa"/>
          </w:tcPr>
          <w:p w14:paraId="4A4CD5E9" w14:textId="77777777" w:rsidR="00864757" w:rsidRPr="00E47091" w:rsidRDefault="00864757" w:rsidP="00525540">
            <w:pPr>
              <w:jc w:val="both"/>
              <w:rPr>
                <w:rFonts w:ascii="Times New Roman" w:hAnsi="Times New Roman" w:cs="Times New Roman"/>
                <w:lang w:val="en-GB"/>
              </w:rPr>
            </w:pPr>
          </w:p>
        </w:tc>
        <w:tc>
          <w:tcPr>
            <w:tcW w:w="5615" w:type="dxa"/>
          </w:tcPr>
          <w:p w14:paraId="00B71A79"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Sistema di produzione che evita l'uso di sostanze chimiche sintetiche e promuove pratiche naturali per la coltivazione e l’allevamento. Dà priorità alla salute dell'ambiente e del </w:t>
            </w:r>
            <w:r w:rsidRPr="00E47091">
              <w:rPr>
                <w:rFonts w:ascii="Times New Roman" w:hAnsi="Times New Roman" w:cs="Times New Roman"/>
                <w:lang w:val="it"/>
              </w:rPr>
              <w:lastRenderedPageBreak/>
              <w:t>suolo, evitando organismi geneticamente modificati (OGM), pesticidi sintetici e antibiotici. Si basa su processi ecologici, biodiversità e cicli adattati alle condizioni locali piuttosto che sull'uso di input con effetti negativi.</w:t>
            </w:r>
          </w:p>
        </w:tc>
        <w:tc>
          <w:tcPr>
            <w:tcW w:w="616" w:type="dxa"/>
          </w:tcPr>
          <w:p w14:paraId="0B7F4ABC"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w:t>
            </w:r>
          </w:p>
        </w:tc>
      </w:tr>
      <w:tr w:rsidR="00864757" w:rsidRPr="00E47091" w14:paraId="2FD52714" w14:textId="77777777" w:rsidTr="2C6C7817">
        <w:tc>
          <w:tcPr>
            <w:tcW w:w="2062" w:type="dxa"/>
          </w:tcPr>
          <w:p w14:paraId="3F6BD4B8"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Agricoltura conservativa</w:t>
            </w:r>
          </w:p>
        </w:tc>
        <w:tc>
          <w:tcPr>
            <w:tcW w:w="1469" w:type="dxa"/>
          </w:tcPr>
          <w:p w14:paraId="26CC5DD7" w14:textId="77777777" w:rsidR="00864757" w:rsidRPr="00E47091" w:rsidRDefault="00864757" w:rsidP="002A67F8">
            <w:pPr>
              <w:jc w:val="both"/>
              <w:rPr>
                <w:rFonts w:ascii="Times New Roman" w:hAnsi="Times New Roman" w:cs="Times New Roman"/>
                <w:lang w:val="en-GB"/>
              </w:rPr>
            </w:pPr>
          </w:p>
        </w:tc>
        <w:tc>
          <w:tcPr>
            <w:tcW w:w="5615" w:type="dxa"/>
          </w:tcPr>
          <w:p w14:paraId="0938CBBD"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Un metodo di coltivazione mirata a disturbare il suolo il meno possibile (nessuna lavorazione, lavorazione minima, lavorazione ridotta, lavorazione a strisce, semina diretta), rotazione delle colture e copertura permanente del suolo (</w:t>
            </w:r>
            <w:hyperlink r:id="rId14" w:history="1">
              <w:r w:rsidRPr="00E47091">
                <w:rPr>
                  <w:rStyle w:val="Hyperlink"/>
                  <w:rFonts w:ascii="Times New Roman" w:hAnsi="Times New Roman" w:cs="Times New Roman"/>
                  <w:lang w:val="it"/>
                </w:rPr>
                <w:t>http://www.fao.org/ag/ca/</w:t>
              </w:r>
            </w:hyperlink>
            <w:r w:rsidRPr="00E47091">
              <w:rPr>
                <w:rFonts w:ascii="Times New Roman" w:hAnsi="Times New Roman" w:cs="Times New Roman"/>
                <w:lang w:val="it"/>
              </w:rPr>
              <w:t xml:space="preserve"> ).</w:t>
            </w:r>
          </w:p>
        </w:tc>
        <w:tc>
          <w:tcPr>
            <w:tcW w:w="616" w:type="dxa"/>
          </w:tcPr>
          <w:p w14:paraId="62ECC1D6"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5CBCB1DE" w14:textId="77777777" w:rsidTr="2C6C7817">
        <w:tc>
          <w:tcPr>
            <w:tcW w:w="2062" w:type="dxa"/>
          </w:tcPr>
          <w:p w14:paraId="1F48F92B"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Agricoltura convenzionale</w:t>
            </w:r>
          </w:p>
        </w:tc>
        <w:tc>
          <w:tcPr>
            <w:tcW w:w="1469" w:type="dxa"/>
          </w:tcPr>
          <w:p w14:paraId="4D8BA45D" w14:textId="77777777" w:rsidR="00864757" w:rsidRPr="00E47091" w:rsidRDefault="00864757" w:rsidP="002A67F8">
            <w:pPr>
              <w:jc w:val="both"/>
              <w:rPr>
                <w:rFonts w:ascii="Times New Roman" w:hAnsi="Times New Roman" w:cs="Times New Roman"/>
                <w:lang w:val="en-GB"/>
              </w:rPr>
            </w:pPr>
          </w:p>
        </w:tc>
        <w:tc>
          <w:tcPr>
            <w:tcW w:w="5615" w:type="dxa"/>
          </w:tcPr>
          <w:p w14:paraId="012D510A"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Un metodo di coltivazione che include l'uso di fertilizzanti chimici sintetici, pesticidi ed erbicidi (e talvolta organismi geneticamente modificati) per aumentare i raccolti, consentendo a queste tipologie di aziende agricole di dipendere meno da pratiche agricole (per es. rotazione delle colture, inclusione di colture che fissano l'azoto atmosferico N) biologiche e meccaniche che favoriscono il ciclo delle risorse, promuovono l'equilibrio ecologico e preservano la biodiversità. Spesso comporta monocoltura su larga scala (coltivazione di un'unica coltura su una vasta area) e pratiche meccanizzate per semplificare le operazioni e ridurre i costi di manodopera.</w:t>
            </w:r>
          </w:p>
        </w:tc>
        <w:tc>
          <w:tcPr>
            <w:tcW w:w="616" w:type="dxa"/>
          </w:tcPr>
          <w:p w14:paraId="428AAA86"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4, 44</w:t>
            </w:r>
          </w:p>
        </w:tc>
      </w:tr>
      <w:tr w:rsidR="00864757" w:rsidRPr="00E47091" w14:paraId="16648EFD" w14:textId="77777777" w:rsidTr="2C6C7817">
        <w:tc>
          <w:tcPr>
            <w:tcW w:w="2062" w:type="dxa"/>
          </w:tcPr>
          <w:p w14:paraId="4E007920"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Agricoltura fuori suolo</w:t>
            </w:r>
          </w:p>
        </w:tc>
        <w:tc>
          <w:tcPr>
            <w:tcW w:w="1469" w:type="dxa"/>
          </w:tcPr>
          <w:p w14:paraId="0333948C" w14:textId="77777777" w:rsidR="00864757" w:rsidRPr="00E47091" w:rsidRDefault="00864757" w:rsidP="00A655ED">
            <w:pPr>
              <w:jc w:val="both"/>
              <w:rPr>
                <w:rFonts w:ascii="Times New Roman" w:hAnsi="Times New Roman" w:cs="Times New Roman"/>
                <w:lang w:val="en-GB"/>
              </w:rPr>
            </w:pPr>
          </w:p>
        </w:tc>
        <w:tc>
          <w:tcPr>
            <w:tcW w:w="5615" w:type="dxa"/>
          </w:tcPr>
          <w:p w14:paraId="6CD6831E"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Un metodo di coltivazione che non si basa sulla tradizionale coltivazione in terra. Per produrre raccolti questo approccio utilizza metodi di crescita alternativi, come l'idroponica, l'aeroponica o l'acquaponica. L'agricoltura fuori suolo mira a ottimizzare l'uso delle risorse, ridurre al minimo il degrado del suolo e migliorare la produzione alimentare in ambienti urbani o aridi, dove la qualità del suolo potrebbe essere scarsa o indisponibile. Questo metodo spesso pone l'accento su sostenibilità, efficienza e capacità di controllare i fattori ambientali per migliorare la resa delle colture.</w:t>
            </w:r>
          </w:p>
        </w:tc>
        <w:tc>
          <w:tcPr>
            <w:tcW w:w="616" w:type="dxa"/>
          </w:tcPr>
          <w:p w14:paraId="7C7101F2"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33</w:t>
            </w:r>
          </w:p>
        </w:tc>
      </w:tr>
      <w:tr w:rsidR="00864757" w:rsidRPr="00E47091" w14:paraId="3530BDCA" w14:textId="77777777" w:rsidTr="2C6C7817">
        <w:tc>
          <w:tcPr>
            <w:tcW w:w="2062" w:type="dxa"/>
          </w:tcPr>
          <w:p w14:paraId="2ACE2CF2" w14:textId="77777777" w:rsidR="00864757" w:rsidRPr="00E47091" w:rsidRDefault="00864757" w:rsidP="00A655ED">
            <w:pPr>
              <w:rPr>
                <w:rFonts w:ascii="Times New Roman" w:hAnsi="Times New Roman" w:cs="Times New Roman"/>
                <w:b/>
                <w:color w:val="BF4E14" w:themeColor="accent2" w:themeShade="BF"/>
                <w:lang w:val="en-GB"/>
              </w:rPr>
            </w:pPr>
            <w:r w:rsidRPr="00E47091">
              <w:rPr>
                <w:rFonts w:ascii="Times New Roman" w:hAnsi="Times New Roman" w:cs="Times New Roman"/>
                <w:b/>
                <w:color w:val="3A7C22" w:themeColor="accent6" w:themeShade="BF"/>
                <w:lang w:val="it"/>
              </w:rPr>
              <w:t>Agricoltura rigenerativa</w:t>
            </w:r>
          </w:p>
        </w:tc>
        <w:tc>
          <w:tcPr>
            <w:tcW w:w="1469" w:type="dxa"/>
          </w:tcPr>
          <w:p w14:paraId="429EF9C2" w14:textId="77777777" w:rsidR="00864757" w:rsidRPr="00E47091" w:rsidRDefault="00864757" w:rsidP="00A655ED">
            <w:pPr>
              <w:jc w:val="both"/>
              <w:rPr>
                <w:rFonts w:ascii="Times New Roman" w:hAnsi="Times New Roman" w:cs="Times New Roman"/>
                <w:lang w:val="en-GB"/>
              </w:rPr>
            </w:pPr>
          </w:p>
        </w:tc>
        <w:tc>
          <w:tcPr>
            <w:tcW w:w="5615" w:type="dxa"/>
          </w:tcPr>
          <w:p w14:paraId="67E06A01"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Approccio scientifico all'agricoltura e alla gestione della terra, mirato a ripristinare e migliorare la salute del suolo, la biodiversità e le funzioni dell'ecosistema, accrescendo al contempo la produttività e la resilienza agricole. Utilizza pratiche che rigenerano attivamente i terreni e gli ecosistemi degradati, creando un ciclo di feedback positivo che apporta benefici sia all'ambiente sia ai sistemi agricoli. Sottolinea l'interconnessione tra suolo, piante, animali ed esseri umani e mira a creare un ciclo rigenerativo che migliori i servizi ecosistemici e supporti la sostenibilità agricola a lungo termine.</w:t>
            </w:r>
          </w:p>
        </w:tc>
        <w:tc>
          <w:tcPr>
            <w:tcW w:w="616" w:type="dxa"/>
          </w:tcPr>
          <w:p w14:paraId="274FA319"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1, 41</w:t>
            </w:r>
          </w:p>
        </w:tc>
      </w:tr>
      <w:tr w:rsidR="00864757" w:rsidRPr="00E47091" w14:paraId="41FA8321" w14:textId="77777777" w:rsidTr="2C6C7817">
        <w:tc>
          <w:tcPr>
            <w:tcW w:w="2062" w:type="dxa"/>
          </w:tcPr>
          <w:p w14:paraId="29EDC1B4"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Agroforestazione</w:t>
            </w:r>
          </w:p>
        </w:tc>
        <w:tc>
          <w:tcPr>
            <w:tcW w:w="1469" w:type="dxa"/>
          </w:tcPr>
          <w:p w14:paraId="212CEFA2" w14:textId="77777777" w:rsidR="00864757" w:rsidRPr="00E47091" w:rsidRDefault="00864757" w:rsidP="002A67F8">
            <w:pPr>
              <w:jc w:val="both"/>
              <w:rPr>
                <w:rFonts w:ascii="Times New Roman" w:hAnsi="Times New Roman" w:cs="Times New Roman"/>
                <w:lang w:val="en-GB"/>
              </w:rPr>
            </w:pPr>
          </w:p>
        </w:tc>
        <w:tc>
          <w:tcPr>
            <w:tcW w:w="5615" w:type="dxa"/>
          </w:tcPr>
          <w:p w14:paraId="53F1DA24"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Un tipo di utilizzo del suolo che, nello stesso appezzamento di terreno, associa attività agricole annuali (come colture e pascoli) alla coltivazione a lungo termine di specie arboree (ad esempio, legname e servizi correlati). Ciò avviene piantando alberi su terreni agricoli o coltivando (ad esempio dopo il diradamento) terreni forestali. Gli appezzamenti che associano colture intercalari arabili con alberi forestali sono detti appezzamenti silvoarabili, mentre gli appezzamenti boschivi con pascolo sotto la chioma arborea sono detti appezzamenti silvopastorali.</w:t>
            </w:r>
          </w:p>
        </w:tc>
        <w:tc>
          <w:tcPr>
            <w:tcW w:w="616" w:type="dxa"/>
          </w:tcPr>
          <w:p w14:paraId="004A6B14"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15D79A15" w14:textId="77777777" w:rsidTr="2C6C7817">
        <w:tc>
          <w:tcPr>
            <w:tcW w:w="2062" w:type="dxa"/>
          </w:tcPr>
          <w:p w14:paraId="428570EA"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Antropogenico</w:t>
            </w:r>
          </w:p>
        </w:tc>
        <w:tc>
          <w:tcPr>
            <w:tcW w:w="1469" w:type="dxa"/>
          </w:tcPr>
          <w:p w14:paraId="1449A6C3" w14:textId="77777777" w:rsidR="00864757" w:rsidRPr="00E47091" w:rsidRDefault="00864757" w:rsidP="002A67F8">
            <w:pPr>
              <w:jc w:val="both"/>
              <w:rPr>
                <w:rFonts w:ascii="Times New Roman" w:hAnsi="Times New Roman" w:cs="Times New Roman"/>
                <w:lang w:val="en-GB"/>
              </w:rPr>
            </w:pPr>
          </w:p>
        </w:tc>
        <w:tc>
          <w:tcPr>
            <w:tcW w:w="5615" w:type="dxa"/>
          </w:tcPr>
          <w:p w14:paraId="688F53F0"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Generato dagli umani. Riferito al suolo, il termine si utilizza per indicare condizioni, disturbi o stress generati dalle attività umane.</w:t>
            </w:r>
          </w:p>
        </w:tc>
        <w:tc>
          <w:tcPr>
            <w:tcW w:w="616" w:type="dxa"/>
          </w:tcPr>
          <w:p w14:paraId="5D941ADE"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09200FC2" w14:textId="77777777" w:rsidTr="2C6C7817">
        <w:tc>
          <w:tcPr>
            <w:tcW w:w="2062" w:type="dxa"/>
          </w:tcPr>
          <w:p w14:paraId="0B3ECC88" w14:textId="77777777" w:rsidR="00864757" w:rsidRPr="00E47091" w:rsidRDefault="00864757" w:rsidP="2C6C7817">
            <w:pPr>
              <w:rPr>
                <w:rFonts w:ascii="Times New Roman" w:eastAsia="Times New Roman" w:hAnsi="Times New Roman" w:cs="Times New Roman"/>
                <w:b/>
                <w:bCs/>
                <w:color w:val="3A7C22" w:themeColor="accent6" w:themeShade="BF"/>
                <w:lang w:val="en-GB"/>
              </w:rPr>
            </w:pPr>
            <w:r w:rsidRPr="00E47091">
              <w:rPr>
                <w:rFonts w:ascii="Times New Roman" w:eastAsia="Times New Roman" w:hAnsi="Times New Roman" w:cs="Times New Roman"/>
                <w:b/>
                <w:bCs/>
                <w:color w:val="3A7C22" w:themeColor="accent6" w:themeShade="BF"/>
                <w:lang w:val="it"/>
              </w:rPr>
              <w:lastRenderedPageBreak/>
              <w:t xml:space="preserve">Approccio multisettoriale </w:t>
            </w:r>
          </w:p>
        </w:tc>
        <w:tc>
          <w:tcPr>
            <w:tcW w:w="1469" w:type="dxa"/>
          </w:tcPr>
          <w:p w14:paraId="03393A07" w14:textId="77777777" w:rsidR="00864757" w:rsidRPr="00E47091" w:rsidRDefault="00864757" w:rsidP="00A655ED">
            <w:pPr>
              <w:jc w:val="both"/>
              <w:rPr>
                <w:rFonts w:ascii="Times New Roman" w:hAnsi="Times New Roman" w:cs="Times New Roman"/>
                <w:lang w:val="en-GB"/>
              </w:rPr>
            </w:pPr>
          </w:p>
        </w:tc>
        <w:tc>
          <w:tcPr>
            <w:tcW w:w="5615" w:type="dxa"/>
          </w:tcPr>
          <w:p w14:paraId="4573CFFF"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La collaborazione di ricercatori di diverse discipline per affrontare un problema specifico, in cui ogni disciplina contribuisce con le proprie conoscenze e tecniche uniche, portando a una comprensione più completa del problema.</w:t>
            </w:r>
            <w:r w:rsidRPr="00E47091">
              <w:rPr>
                <w:lang w:val="it"/>
              </w:rPr>
              <w:t xml:space="preserve"> </w:t>
            </w:r>
            <w:r w:rsidRPr="00E47091">
              <w:rPr>
                <w:rFonts w:ascii="Times New Roman" w:hAnsi="Times New Roman" w:cs="Times New Roman"/>
                <w:lang w:val="it"/>
              </w:rPr>
              <w:t>Il livello di integrazione è basso e le discipline lavorano in parallelo.</w:t>
            </w:r>
          </w:p>
        </w:tc>
        <w:tc>
          <w:tcPr>
            <w:tcW w:w="616" w:type="dxa"/>
          </w:tcPr>
          <w:p w14:paraId="06FF3EFC"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32, 37</w:t>
            </w:r>
          </w:p>
        </w:tc>
      </w:tr>
      <w:tr w:rsidR="00864757" w:rsidRPr="00E47091" w14:paraId="01BAF22C" w14:textId="77777777" w:rsidTr="2C6C7817">
        <w:tc>
          <w:tcPr>
            <w:tcW w:w="2062" w:type="dxa"/>
          </w:tcPr>
          <w:p w14:paraId="2E094085"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Approccio olistico</w:t>
            </w:r>
          </w:p>
        </w:tc>
        <w:tc>
          <w:tcPr>
            <w:tcW w:w="1469" w:type="dxa"/>
          </w:tcPr>
          <w:p w14:paraId="33FD0D40" w14:textId="77777777" w:rsidR="00864757" w:rsidRPr="00E47091" w:rsidRDefault="00864757" w:rsidP="00A655ED">
            <w:pPr>
              <w:jc w:val="both"/>
              <w:rPr>
                <w:rFonts w:ascii="Times New Roman" w:hAnsi="Times New Roman" w:cs="Times New Roman"/>
                <w:lang w:val="en-GB"/>
              </w:rPr>
            </w:pPr>
          </w:p>
        </w:tc>
        <w:tc>
          <w:tcPr>
            <w:tcW w:w="5615" w:type="dxa"/>
          </w:tcPr>
          <w:p w14:paraId="0DF22F6A"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 xml:space="preserve">Una metodologia che considera il sistema nel suo complesso anziché incentrarsi esclusivamente sui singoli componenti. Questo approccio sottolinea l'interconnessione dei vari elementi all'interno di un sistema, riconoscendo che i cambiamenti in un'area possono avere un impatto significativo su altre. Un approccio olistico integra diverse prospettive e discipline per fornire una comprensione più completa di un problema e del suo contesto. Questa metodologia promuove la collaborazione tra le parti interessate e incoraggia soluzioni sostenibili ed efficaci in diversi ambiti. Si applica spesso in settori quali sanità, istruzione, scienze ambientali e politica sociale. </w:t>
            </w:r>
          </w:p>
        </w:tc>
        <w:tc>
          <w:tcPr>
            <w:tcW w:w="616" w:type="dxa"/>
          </w:tcPr>
          <w:p w14:paraId="1F119CD9"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Loess</w:t>
            </w:r>
          </w:p>
        </w:tc>
      </w:tr>
      <w:tr w:rsidR="00864757" w:rsidRPr="00E47091" w14:paraId="2B6DDEFD" w14:textId="77777777" w:rsidTr="2C6C7817">
        <w:tc>
          <w:tcPr>
            <w:tcW w:w="2062" w:type="dxa"/>
          </w:tcPr>
          <w:p w14:paraId="7BE94471" w14:textId="77777777" w:rsidR="00864757" w:rsidRPr="00864757" w:rsidRDefault="00864757" w:rsidP="002A67F8">
            <w:pPr>
              <w:rPr>
                <w:rFonts w:ascii="Times New Roman" w:hAnsi="Times New Roman" w:cs="Times New Roman"/>
                <w:b/>
                <w:color w:val="3A7C22" w:themeColor="accent6" w:themeShade="BF"/>
                <w:lang w:val="it-IT"/>
              </w:rPr>
            </w:pPr>
            <w:r w:rsidRPr="00E47091">
              <w:rPr>
                <w:rFonts w:ascii="Times New Roman" w:hAnsi="Times New Roman" w:cs="Times New Roman"/>
                <w:b/>
                <w:color w:val="3A7C22" w:themeColor="accent6" w:themeShade="BF"/>
                <w:lang w:val="it"/>
              </w:rPr>
              <w:t>Attori della conoscenza e dell'educazione</w:t>
            </w:r>
          </w:p>
        </w:tc>
        <w:tc>
          <w:tcPr>
            <w:tcW w:w="1469" w:type="dxa"/>
          </w:tcPr>
          <w:p w14:paraId="3EF3A7AD" w14:textId="77777777" w:rsidR="00864757" w:rsidRPr="00864757" w:rsidRDefault="00864757" w:rsidP="00525540">
            <w:pPr>
              <w:jc w:val="both"/>
              <w:rPr>
                <w:rFonts w:ascii="Times New Roman" w:hAnsi="Times New Roman" w:cs="Times New Roman"/>
                <w:lang w:val="it-IT"/>
              </w:rPr>
            </w:pPr>
          </w:p>
        </w:tc>
        <w:tc>
          <w:tcPr>
            <w:tcW w:w="5615" w:type="dxa"/>
          </w:tcPr>
          <w:p w14:paraId="247475BC"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Questo gruppo è composto da istituti accademici e di ricerca la cui attività si incentra in pedologia, agricoltura, selvicoltura o studi ambientali e il cui scopo è generare nuove conoscenze e comprensione delle problematiche di governance del suolo, tra cui salute del suolo, uso sostenibile del terreno e pratiche di conservazione, attraverso la ricerca, l'educazione e la divulgazione.</w:t>
            </w:r>
          </w:p>
          <w:p w14:paraId="22D577A1"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Esempi: scienziati, accademici, ricercatori e studenti di università, istituti di ricerca, istituti di istruzione secondaria, organizzazioni della società civile, ecc.</w:t>
            </w:r>
          </w:p>
        </w:tc>
        <w:tc>
          <w:tcPr>
            <w:tcW w:w="616" w:type="dxa"/>
          </w:tcPr>
          <w:p w14:paraId="725B1628"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w:t>
            </w:r>
          </w:p>
        </w:tc>
      </w:tr>
      <w:tr w:rsidR="00864757" w:rsidRPr="00E47091" w14:paraId="1633FF1A" w14:textId="77777777" w:rsidTr="2C6C7817">
        <w:tc>
          <w:tcPr>
            <w:tcW w:w="2062" w:type="dxa"/>
          </w:tcPr>
          <w:p w14:paraId="31105D76" w14:textId="77777777" w:rsidR="00864757" w:rsidRPr="00E47091" w:rsidRDefault="00864757" w:rsidP="002A67F8">
            <w:pPr>
              <w:rPr>
                <w:rFonts w:ascii="Times New Roman" w:hAnsi="Times New Roman" w:cs="Times New Roman"/>
                <w:b/>
                <w:lang w:val="en-GB"/>
              </w:rPr>
            </w:pPr>
            <w:r w:rsidRPr="00E47091">
              <w:rPr>
                <w:rFonts w:ascii="Times New Roman" w:hAnsi="Times New Roman" w:cs="Times New Roman"/>
                <w:b/>
                <w:color w:val="3A7C22" w:themeColor="accent6" w:themeShade="BF"/>
                <w:lang w:val="it"/>
              </w:rPr>
              <w:t>Biodiversità</w:t>
            </w:r>
          </w:p>
        </w:tc>
        <w:tc>
          <w:tcPr>
            <w:tcW w:w="1469" w:type="dxa"/>
          </w:tcPr>
          <w:p w14:paraId="5BDE51A1" w14:textId="77777777" w:rsidR="00864757" w:rsidRPr="00E47091" w:rsidRDefault="00864757" w:rsidP="002A67F8">
            <w:pPr>
              <w:jc w:val="both"/>
              <w:rPr>
                <w:rFonts w:ascii="Times New Roman" w:hAnsi="Times New Roman" w:cs="Times New Roman"/>
                <w:lang w:val="en-GB"/>
              </w:rPr>
            </w:pPr>
          </w:p>
        </w:tc>
        <w:tc>
          <w:tcPr>
            <w:tcW w:w="5615" w:type="dxa"/>
          </w:tcPr>
          <w:p w14:paraId="7AEE7E8D" w14:textId="77777777" w:rsidR="00864757" w:rsidRPr="00E47091" w:rsidRDefault="00864757" w:rsidP="00AC40AC">
            <w:pPr>
              <w:jc w:val="both"/>
              <w:rPr>
                <w:rFonts w:ascii="Times New Roman" w:hAnsi="Times New Roman" w:cs="Times New Roman"/>
                <w:lang w:val="it-IT"/>
              </w:rPr>
            </w:pPr>
            <w:r w:rsidRPr="00E47091">
              <w:rPr>
                <w:rFonts w:ascii="Times New Roman" w:hAnsi="Times New Roman" w:cs="Times New Roman"/>
                <w:lang w:val="it"/>
              </w:rPr>
              <w:t>È la varietà della vita sulla Terra a tutti i livelli e include la diversità genetica all'interno delle specie, la diversità delle specie stesse e la diversità degli ecosistemi. Comprende tutte le varietà di piante, animali, funghi, microrganismi e i complessi ecologici di cui fanno parte. La biodiversità è essenziale per la stabilità e la resilienza degli ecosistemi, poiché è alla base dei processi che sostengono la vita, come il ciclo dei nutrienti, l'impollinazione, la formazione del suolo e la regolazione del clima.</w:t>
            </w:r>
          </w:p>
          <w:p w14:paraId="2A79EB19" w14:textId="77777777" w:rsidR="00864757" w:rsidRPr="00E47091" w:rsidRDefault="00864757" w:rsidP="00AC40AC">
            <w:pPr>
              <w:jc w:val="both"/>
              <w:rPr>
                <w:rFonts w:ascii="Times New Roman" w:hAnsi="Times New Roman" w:cs="Times New Roman"/>
                <w:lang w:val="it-IT"/>
              </w:rPr>
            </w:pPr>
            <w:r w:rsidRPr="00E47091">
              <w:rPr>
                <w:rFonts w:ascii="Times New Roman" w:hAnsi="Times New Roman" w:cs="Times New Roman"/>
                <w:lang w:val="it"/>
              </w:rPr>
              <w:t>Le funzioni della biodiversità sono fondamentali sia per gli ecosistemi naturali sia per il benessere umano. La biodiversità fornisce servizi ecosistemici quali cibo, acqua pulita, medicine e materie prime, contribuendo al tempo stesso a valori culturali, ricreativi ed estetici. La biodiversità aumenta la produttività e la resilienza degli ecosistemi, consentendo loro di riprendersi dalle alterazioni e di adattarsi ai cambiamenti, come quelli causati dai cambiamenti climatici. La perdita di biodiversità, causata dalla distruzione dell'habitat, dall'inquinamento, dallo sfruttamento eccessivo e dalle specie invasive, minaccia queste funzioni e servizi vitali.</w:t>
            </w:r>
          </w:p>
        </w:tc>
        <w:tc>
          <w:tcPr>
            <w:tcW w:w="616" w:type="dxa"/>
          </w:tcPr>
          <w:p w14:paraId="223CEBE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39</w:t>
            </w:r>
          </w:p>
        </w:tc>
      </w:tr>
      <w:tr w:rsidR="00864757" w:rsidRPr="00E47091" w14:paraId="7DDDC572" w14:textId="77777777" w:rsidTr="2C6C7817">
        <w:tc>
          <w:tcPr>
            <w:tcW w:w="2062" w:type="dxa"/>
          </w:tcPr>
          <w:p w14:paraId="63CE42AA"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Biomassa</w:t>
            </w:r>
          </w:p>
        </w:tc>
        <w:tc>
          <w:tcPr>
            <w:tcW w:w="1469" w:type="dxa"/>
          </w:tcPr>
          <w:p w14:paraId="7AE052C3" w14:textId="77777777" w:rsidR="00864757" w:rsidRPr="00E47091" w:rsidRDefault="00864757" w:rsidP="002A67F8">
            <w:pPr>
              <w:jc w:val="both"/>
              <w:rPr>
                <w:rFonts w:ascii="Times New Roman" w:hAnsi="Times New Roman" w:cs="Times New Roman"/>
                <w:lang w:val="en-GB"/>
              </w:rPr>
            </w:pPr>
          </w:p>
        </w:tc>
        <w:tc>
          <w:tcPr>
            <w:tcW w:w="5615" w:type="dxa"/>
          </w:tcPr>
          <w:p w14:paraId="0AD40F55"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 xml:space="preserve">Materiale organico di origine biologica (piante e animali). Il termine può essere utilizzato per indicare gli effluenti e i rifiuti agroindustriali, le colture energetiche, i materiali raccolti dalla natura (ad esempio il legno) o i rifiuti organici. Si può utilizzare la biomassa per migliorare la fertilità e la salute del suolo, per aumentare lo stoccaggio del carbonio o come alternativa alle materie prime fossili nelle bioraffinerie e nei </w:t>
            </w:r>
            <w:r w:rsidRPr="00E47091">
              <w:rPr>
                <w:rFonts w:ascii="Times New Roman" w:hAnsi="Times New Roman" w:cs="Times New Roman"/>
                <w:lang w:val="it"/>
              </w:rPr>
              <w:lastRenderedPageBreak/>
              <w:t>processi industriali, come materia prima per la produzione di biocarburanti.</w:t>
            </w:r>
          </w:p>
        </w:tc>
        <w:tc>
          <w:tcPr>
            <w:tcW w:w="616" w:type="dxa"/>
          </w:tcPr>
          <w:p w14:paraId="045CF98A"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w:t>
            </w:r>
          </w:p>
        </w:tc>
      </w:tr>
      <w:tr w:rsidR="00864757" w:rsidRPr="00E47091" w14:paraId="0730AA0F" w14:textId="77777777" w:rsidTr="2C6C7817">
        <w:tc>
          <w:tcPr>
            <w:tcW w:w="2062" w:type="dxa"/>
          </w:tcPr>
          <w:p w14:paraId="3FECADF6"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Capacità del suolo</w:t>
            </w:r>
          </w:p>
        </w:tc>
        <w:tc>
          <w:tcPr>
            <w:tcW w:w="1469" w:type="dxa"/>
          </w:tcPr>
          <w:p w14:paraId="75DA8078" w14:textId="77777777" w:rsidR="00864757" w:rsidRPr="00E47091" w:rsidRDefault="00864757" w:rsidP="00525540">
            <w:pPr>
              <w:jc w:val="both"/>
              <w:rPr>
                <w:rFonts w:ascii="Times New Roman" w:hAnsi="Times New Roman" w:cs="Times New Roman"/>
                <w:lang w:val="en-GB"/>
              </w:rPr>
            </w:pPr>
          </w:p>
        </w:tc>
        <w:tc>
          <w:tcPr>
            <w:tcW w:w="5615" w:type="dxa"/>
          </w:tcPr>
          <w:p w14:paraId="5A7F6E15"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capacità intrinseca di un suolo di fornire/soddisfare le sue funzioni.</w:t>
            </w:r>
          </w:p>
        </w:tc>
        <w:tc>
          <w:tcPr>
            <w:tcW w:w="616" w:type="dxa"/>
          </w:tcPr>
          <w:p w14:paraId="65AF0A72"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w:t>
            </w:r>
          </w:p>
        </w:tc>
      </w:tr>
      <w:tr w:rsidR="00864757" w:rsidRPr="00E47091" w14:paraId="0764AC5E" w14:textId="77777777" w:rsidTr="2C6C7817">
        <w:tc>
          <w:tcPr>
            <w:tcW w:w="2062" w:type="dxa"/>
          </w:tcPr>
          <w:p w14:paraId="70F8B17A"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Capacità di campo</w:t>
            </w:r>
          </w:p>
        </w:tc>
        <w:tc>
          <w:tcPr>
            <w:tcW w:w="1469" w:type="dxa"/>
          </w:tcPr>
          <w:p w14:paraId="0FBD7FB9" w14:textId="77777777" w:rsidR="00864757" w:rsidRPr="00E47091" w:rsidRDefault="00864757" w:rsidP="00525540">
            <w:pPr>
              <w:jc w:val="both"/>
              <w:rPr>
                <w:rFonts w:ascii="Times New Roman" w:hAnsi="Times New Roman" w:cs="Times New Roman"/>
                <w:lang w:val="en-GB"/>
              </w:rPr>
            </w:pPr>
          </w:p>
        </w:tc>
        <w:tc>
          <w:tcPr>
            <w:tcW w:w="5615" w:type="dxa"/>
          </w:tcPr>
          <w:p w14:paraId="73D98CFC"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La condizione di umidità in cui un suolo contiene la massima quantità di acqua che può trattenere contrastando la gravità e in cui un'ulteriore bagnatura provocherà drenaggio. Dopo la saturazione, i terreni solitamente tornano alla capacità di campo, quando la velocità del movimento verso il basso dell'acqua è notevolmente diminuita, solitamente 1-3 giorni dopo la pioggia o l'irrigazione, dopo che l'acqua gravitazionale o libera è defluita. Viene solitamente espressa come frazione di massa o di volume dell'acqua del suolo. </w:t>
            </w:r>
          </w:p>
        </w:tc>
        <w:tc>
          <w:tcPr>
            <w:tcW w:w="616" w:type="dxa"/>
          </w:tcPr>
          <w:p w14:paraId="7C0282E6"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65D903B6" w14:textId="77777777" w:rsidTr="2C6C7817">
        <w:tc>
          <w:tcPr>
            <w:tcW w:w="2062" w:type="dxa"/>
          </w:tcPr>
          <w:p w14:paraId="3C353A89"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Capacità di scambio cationico</w:t>
            </w:r>
          </w:p>
        </w:tc>
        <w:tc>
          <w:tcPr>
            <w:tcW w:w="1469" w:type="dxa"/>
          </w:tcPr>
          <w:p w14:paraId="61136FEF" w14:textId="77777777" w:rsidR="00864757" w:rsidRPr="00E47091" w:rsidRDefault="00864757" w:rsidP="002A67F8">
            <w:pPr>
              <w:jc w:val="both"/>
              <w:rPr>
                <w:rFonts w:ascii="Times New Roman" w:hAnsi="Times New Roman" w:cs="Times New Roman"/>
                <w:lang w:val="en-GB"/>
              </w:rPr>
            </w:pPr>
          </w:p>
        </w:tc>
        <w:tc>
          <w:tcPr>
            <w:tcW w:w="5615" w:type="dxa"/>
          </w:tcPr>
          <w:p w14:paraId="41BA1FAE"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La capacità del suolo di trattenere i nutrienti utili alle piante. In particolare, la CSC è la quantità di carica negativa disponibile nei minerali argillosi e nell'humus del suolo per trattenere ioni caricati positivamente. Una capacità efficace di scambio cationico (ECEC) è riportata per i suoli acidi (pH &lt;5). Si esprime in centimoli di carica per chilogrammo di suolo (cmolc/kg).</w:t>
            </w:r>
          </w:p>
        </w:tc>
        <w:tc>
          <w:tcPr>
            <w:tcW w:w="616" w:type="dxa"/>
          </w:tcPr>
          <w:p w14:paraId="1C5E39B8"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50461D70" w14:textId="77777777" w:rsidTr="2C6C7817">
        <w:tc>
          <w:tcPr>
            <w:tcW w:w="2062" w:type="dxa"/>
          </w:tcPr>
          <w:p w14:paraId="51703BFA"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Capitale naturale</w:t>
            </w:r>
          </w:p>
        </w:tc>
        <w:tc>
          <w:tcPr>
            <w:tcW w:w="1469" w:type="dxa"/>
          </w:tcPr>
          <w:p w14:paraId="59B9BE02" w14:textId="77777777" w:rsidR="00864757" w:rsidRPr="00E47091" w:rsidRDefault="00864757" w:rsidP="00525540">
            <w:pPr>
              <w:jc w:val="both"/>
              <w:rPr>
                <w:rFonts w:ascii="Times New Roman" w:hAnsi="Times New Roman" w:cs="Times New Roman"/>
                <w:lang w:val="en-GB"/>
              </w:rPr>
            </w:pPr>
          </w:p>
        </w:tc>
        <w:tc>
          <w:tcPr>
            <w:tcW w:w="5615" w:type="dxa"/>
          </w:tcPr>
          <w:p w14:paraId="45BB4AE9"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Si riferisce sia agli aspetti viventi (per es. riserve ittiche, foreste) sia a quelli non viventi (per es. minerali, risorse energetiche) della natura. È l’insieme degli ecosistemi sulla Terra, che includono aria, acqua, biodiversità e geodiversità. Questo patrimonio sostiene la nostra economia e la nostra società producendo valore per le persone, sia direttamente sia indirettamente. I beni e i servizi forniti agli esseri umani dal capitale naturale gestito in modo sostenibile includono una serie di benefici sociali e ambientali, come aria e acqua pulite, mitigazione e adattamento ai cambiamenti climatici, cibo, energia, luoghi in cui vivere, materiali per i prodotti, attività ricreative e protezione dai rischi.</w:t>
            </w:r>
          </w:p>
        </w:tc>
        <w:tc>
          <w:tcPr>
            <w:tcW w:w="616" w:type="dxa"/>
          </w:tcPr>
          <w:p w14:paraId="3D35B3F9"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1, 2</w:t>
            </w:r>
          </w:p>
        </w:tc>
      </w:tr>
      <w:tr w:rsidR="00864757" w:rsidRPr="00E47091" w14:paraId="16582629" w14:textId="77777777" w:rsidTr="2C6C7817">
        <w:tc>
          <w:tcPr>
            <w:tcW w:w="2062" w:type="dxa"/>
          </w:tcPr>
          <w:p w14:paraId="2CE4448E"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Ciclo del carbonio</w:t>
            </w:r>
          </w:p>
        </w:tc>
        <w:tc>
          <w:tcPr>
            <w:tcW w:w="1469" w:type="dxa"/>
          </w:tcPr>
          <w:p w14:paraId="4C26C085" w14:textId="77777777" w:rsidR="00864757" w:rsidRPr="00E47091" w:rsidRDefault="00864757" w:rsidP="002A67F8">
            <w:pPr>
              <w:jc w:val="both"/>
              <w:rPr>
                <w:rFonts w:ascii="Times New Roman" w:hAnsi="Times New Roman" w:cs="Times New Roman"/>
                <w:lang w:val="en-GB"/>
              </w:rPr>
            </w:pPr>
          </w:p>
        </w:tc>
        <w:tc>
          <w:tcPr>
            <w:tcW w:w="5615" w:type="dxa"/>
          </w:tcPr>
          <w:p w14:paraId="05B48C5B"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Sequenza di trasformazioni mediante le quali l'anidride carbonica viene convertita in forme organiche tramite fotosintesi o chemiosintesi, riciclata attraverso la biosfera (con parziale incorporazione nei sedimenti) e infine riportata al suo stato originale tramite respirazione o combustione.</w:t>
            </w:r>
          </w:p>
        </w:tc>
        <w:tc>
          <w:tcPr>
            <w:tcW w:w="616" w:type="dxa"/>
          </w:tcPr>
          <w:p w14:paraId="7A7930F5"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75D25BBF" w14:textId="77777777" w:rsidTr="2C6C7817">
        <w:tc>
          <w:tcPr>
            <w:tcW w:w="2062" w:type="dxa"/>
          </w:tcPr>
          <w:p w14:paraId="4EBCAFD0"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Compattazione del suolo</w:t>
            </w:r>
          </w:p>
        </w:tc>
        <w:tc>
          <w:tcPr>
            <w:tcW w:w="1469" w:type="dxa"/>
          </w:tcPr>
          <w:p w14:paraId="37B18BE4" w14:textId="77777777" w:rsidR="00864757" w:rsidRPr="00E47091" w:rsidRDefault="00864757" w:rsidP="00525540">
            <w:pPr>
              <w:jc w:val="both"/>
              <w:rPr>
                <w:rFonts w:ascii="Times New Roman" w:hAnsi="Times New Roman" w:cs="Times New Roman"/>
                <w:lang w:val="en-GB"/>
              </w:rPr>
            </w:pPr>
          </w:p>
        </w:tc>
        <w:tc>
          <w:tcPr>
            <w:tcW w:w="5615" w:type="dxa"/>
          </w:tcPr>
          <w:p w14:paraId="31506EB0"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Modifica della natura del suolo in modo tale che ci sia una diminuzione del volume dei pori tra le particelle o gli aggregati del terreno. Si manifesta come un aumento della densità apparente e un suolo fortemente compattato può diventare significativamente meno permeabile e meno aerato. La compattazione dipendente dall'uomo è causata dal bracconaggio (calpestamento ripetuto di zoccoli di animali) o dal passaggio di macchinari pesanti. Altri esempi tipici sono le "suole di lavorazione" (suola dell'aratro o suola di traffico) che possono formarsi a causa della lavorazione del terreno e che possono influire negativamente sullo sviluppo delle radici e sul drenaggio.</w:t>
            </w:r>
          </w:p>
        </w:tc>
        <w:tc>
          <w:tcPr>
            <w:tcW w:w="616" w:type="dxa"/>
          </w:tcPr>
          <w:p w14:paraId="75B32D00"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6774C489" w14:textId="77777777" w:rsidTr="2C6C7817">
        <w:tc>
          <w:tcPr>
            <w:tcW w:w="2062" w:type="dxa"/>
          </w:tcPr>
          <w:p w14:paraId="2216AD3E"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Compost</w:t>
            </w:r>
          </w:p>
        </w:tc>
        <w:tc>
          <w:tcPr>
            <w:tcW w:w="1469" w:type="dxa"/>
          </w:tcPr>
          <w:p w14:paraId="5B00EAEE" w14:textId="77777777" w:rsidR="00864757" w:rsidRPr="00E47091" w:rsidRDefault="00864757" w:rsidP="002A67F8">
            <w:pPr>
              <w:jc w:val="both"/>
              <w:rPr>
                <w:rFonts w:ascii="Times New Roman" w:hAnsi="Times New Roman" w:cs="Times New Roman"/>
                <w:lang w:val="en-GB"/>
              </w:rPr>
            </w:pPr>
          </w:p>
        </w:tc>
        <w:tc>
          <w:tcPr>
            <w:tcW w:w="5615" w:type="dxa"/>
          </w:tcPr>
          <w:p w14:paraId="4D418A45"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Il materiale utilizzato per fornire materia organica o nutrienti vegetali a un terreno, derivante dal compostaggio.</w:t>
            </w:r>
          </w:p>
        </w:tc>
        <w:tc>
          <w:tcPr>
            <w:tcW w:w="616" w:type="dxa"/>
          </w:tcPr>
          <w:p w14:paraId="666262CA"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5C91C622" w14:textId="77777777" w:rsidTr="2C6C7817">
        <w:tc>
          <w:tcPr>
            <w:tcW w:w="2062" w:type="dxa"/>
          </w:tcPr>
          <w:p w14:paraId="05A49DDB"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Compostaggio</w:t>
            </w:r>
          </w:p>
        </w:tc>
        <w:tc>
          <w:tcPr>
            <w:tcW w:w="1469" w:type="dxa"/>
          </w:tcPr>
          <w:p w14:paraId="1748851F" w14:textId="77777777" w:rsidR="00864757" w:rsidRPr="00E47091" w:rsidRDefault="00864757" w:rsidP="002A67F8">
            <w:pPr>
              <w:jc w:val="both"/>
              <w:rPr>
                <w:rFonts w:ascii="Times New Roman" w:hAnsi="Times New Roman" w:cs="Times New Roman"/>
                <w:lang w:val="en-GB"/>
              </w:rPr>
            </w:pPr>
          </w:p>
        </w:tc>
        <w:tc>
          <w:tcPr>
            <w:tcW w:w="5615" w:type="dxa"/>
          </w:tcPr>
          <w:p w14:paraId="5427B055"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 xml:space="preserve">La decomposizione microbica aerobica di materiali organici, come rifiuti agricoli, rifiuti organici urbani e residui di falciatura. Questo processo si realizza solitamente rivoltando e aerando regolarmente la biomassa organica immagazzinata </w:t>
            </w:r>
            <w:r w:rsidRPr="00E47091">
              <w:rPr>
                <w:rFonts w:ascii="Times New Roman" w:hAnsi="Times New Roman" w:cs="Times New Roman"/>
                <w:lang w:val="it"/>
              </w:rPr>
              <w:lastRenderedPageBreak/>
              <w:t>in cumuli con una geometria che favorisce un'aerazione efficace. Durante questa trasformazione, le frazioni organiche più facilmente degradabili si ossidano e vengono convertite in materia organica stabile, che può essere utilizzata in agricoltura come fertilizzante e come metodo di controllo biologico. A seconda della materia prima utilizzata per il compostaggio, potrebbero esserci dei rischi, ad esempio la contaminazione da microplastiche nel caso di materie prime di origine domestica, il che richiede cautela nelle applicazioni agricole. Contemporaneamente, il prodotto potrebbe diventare meno voluminoso a causa della perdita di acqua e anche più gestibile grazie all'omogeneizzazione.</w:t>
            </w:r>
          </w:p>
          <w:p w14:paraId="11A47DF4"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Oltre a questi benefici il compostaggio aiuta a ridurre la fitotossicità iniziale dei materiali organici utilizzati, disinfetta i materiali e riduce la germinabilità di semi di piante infestanti.</w:t>
            </w:r>
          </w:p>
        </w:tc>
        <w:tc>
          <w:tcPr>
            <w:tcW w:w="616" w:type="dxa"/>
          </w:tcPr>
          <w:p w14:paraId="6E80C1A5"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1, 3</w:t>
            </w:r>
          </w:p>
        </w:tc>
      </w:tr>
      <w:tr w:rsidR="00864757" w:rsidRPr="00E47091" w14:paraId="17D7FA80" w14:textId="77777777" w:rsidTr="2C6C7817">
        <w:tc>
          <w:tcPr>
            <w:tcW w:w="2062" w:type="dxa"/>
          </w:tcPr>
          <w:p w14:paraId="5F6AF578"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Concime verde</w:t>
            </w:r>
          </w:p>
        </w:tc>
        <w:tc>
          <w:tcPr>
            <w:tcW w:w="1469" w:type="dxa"/>
          </w:tcPr>
          <w:p w14:paraId="2557E4BF" w14:textId="77777777" w:rsidR="00864757" w:rsidRPr="00E47091" w:rsidRDefault="00864757" w:rsidP="00525540">
            <w:pPr>
              <w:jc w:val="both"/>
              <w:rPr>
                <w:rFonts w:ascii="Times New Roman" w:hAnsi="Times New Roman" w:cs="Times New Roman"/>
                <w:lang w:val="en-GB"/>
              </w:rPr>
            </w:pPr>
          </w:p>
        </w:tc>
        <w:tc>
          <w:tcPr>
            <w:tcW w:w="5615" w:type="dxa"/>
          </w:tcPr>
          <w:p w14:paraId="37EF394C"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Coltura non raccolta, coltivata tra due stagioni di coltivazione principali, destinata a migliorare la fertilità del suolo, che generalmente non cresce in condizioni limitate di azoto (N) a causa dell'uso di fertilizzanti e concimi o della capacità di fissare l'N atmosferico.</w:t>
            </w:r>
          </w:p>
        </w:tc>
        <w:tc>
          <w:tcPr>
            <w:tcW w:w="616" w:type="dxa"/>
          </w:tcPr>
          <w:p w14:paraId="6F75DE24"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38BD92FD" w14:textId="77777777" w:rsidTr="2C6C7817">
        <w:tc>
          <w:tcPr>
            <w:tcW w:w="2062" w:type="dxa"/>
          </w:tcPr>
          <w:p w14:paraId="53B1B7DF"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Condizione del suolo</w:t>
            </w:r>
          </w:p>
        </w:tc>
        <w:tc>
          <w:tcPr>
            <w:tcW w:w="1469" w:type="dxa"/>
          </w:tcPr>
          <w:p w14:paraId="63E7C8C4" w14:textId="77777777" w:rsidR="00864757" w:rsidRPr="00E47091" w:rsidRDefault="00864757" w:rsidP="00525540">
            <w:pPr>
              <w:jc w:val="both"/>
              <w:rPr>
                <w:rFonts w:ascii="Times New Roman" w:hAnsi="Times New Roman" w:cs="Times New Roman"/>
                <w:lang w:val="en-GB"/>
              </w:rPr>
            </w:pPr>
          </w:p>
        </w:tc>
        <w:tc>
          <w:tcPr>
            <w:tcW w:w="5615" w:type="dxa"/>
          </w:tcPr>
          <w:p w14:paraId="4E0DF07A"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Per condizione del suolo si intende lo stato del suolo, che comprende le sue caratteristiche fisiche, chimiche e biologiche, oltre ai processi e alle interazioni che le collegano, che a loro volta determinano la capacità del suolo di supportare i servizi ecosistemici.</w:t>
            </w:r>
          </w:p>
        </w:tc>
        <w:tc>
          <w:tcPr>
            <w:tcW w:w="616" w:type="dxa"/>
          </w:tcPr>
          <w:p w14:paraId="07CF5A08"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w:t>
            </w:r>
          </w:p>
        </w:tc>
      </w:tr>
      <w:tr w:rsidR="00864757" w:rsidRPr="00E47091" w14:paraId="38A32E78" w14:textId="77777777" w:rsidTr="2C6C7817">
        <w:tc>
          <w:tcPr>
            <w:tcW w:w="2062" w:type="dxa"/>
          </w:tcPr>
          <w:p w14:paraId="5BBCC295"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Conducibilità elettrica</w:t>
            </w:r>
          </w:p>
        </w:tc>
        <w:tc>
          <w:tcPr>
            <w:tcW w:w="1469" w:type="dxa"/>
          </w:tcPr>
          <w:p w14:paraId="7381C3B0" w14:textId="77777777" w:rsidR="00864757" w:rsidRPr="00E47091" w:rsidRDefault="00864757" w:rsidP="002A67F8">
            <w:pPr>
              <w:jc w:val="both"/>
              <w:rPr>
                <w:rFonts w:ascii="Times New Roman" w:hAnsi="Times New Roman" w:cs="Times New Roman"/>
                <w:lang w:val="en-GB"/>
              </w:rPr>
            </w:pPr>
          </w:p>
        </w:tc>
        <w:tc>
          <w:tcPr>
            <w:tcW w:w="5615" w:type="dxa"/>
          </w:tcPr>
          <w:p w14:paraId="543D36EA"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Misura della capacità di un materiale di consentire il passaggio di una carica elettrica. Si utilizza per misurare la salinità del suolo e per stimare le conseguenze pratiche sulle colture. CE di una sospensione di terreno a un dato rapporto suolo/acqua (solitamente 1:5 o estratto saturo come indicatore della soluzione del suolo), espressa in Siemens per m.</w:t>
            </w:r>
          </w:p>
        </w:tc>
        <w:tc>
          <w:tcPr>
            <w:tcW w:w="616" w:type="dxa"/>
          </w:tcPr>
          <w:p w14:paraId="4B709223"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1BCAC898" w14:textId="77777777" w:rsidTr="2C6C7817">
        <w:tc>
          <w:tcPr>
            <w:tcW w:w="2062" w:type="dxa"/>
          </w:tcPr>
          <w:p w14:paraId="673A7EB1"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Contaminazione del suolo</w:t>
            </w:r>
          </w:p>
        </w:tc>
        <w:tc>
          <w:tcPr>
            <w:tcW w:w="1469" w:type="dxa"/>
          </w:tcPr>
          <w:p w14:paraId="4A1B48FB" w14:textId="77777777" w:rsidR="00864757" w:rsidRPr="00E47091" w:rsidRDefault="00864757" w:rsidP="00525540">
            <w:pPr>
              <w:jc w:val="both"/>
              <w:rPr>
                <w:rFonts w:ascii="Times New Roman" w:hAnsi="Times New Roman" w:cs="Times New Roman"/>
                <w:lang w:val="en-GB"/>
              </w:rPr>
            </w:pPr>
          </w:p>
        </w:tc>
        <w:tc>
          <w:tcPr>
            <w:tcW w:w="5615" w:type="dxa"/>
          </w:tcPr>
          <w:p w14:paraId="13CBA89E"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presenza di una sostanza o di un prodotto chimico nel suolo in una concentrazione che può essere dannosa per la salute umana o per l'ambiente. La contaminazione può avere un effetto tossico diretto sulle piante, sugli animali o sugli esseri umani che vivono in quel suolo, su quel suolo o da quel suolo, oppure avere un effetto tossico indiretto dovuto all'accumulo nell'intera catena trofica.</w:t>
            </w:r>
          </w:p>
        </w:tc>
        <w:tc>
          <w:tcPr>
            <w:tcW w:w="616" w:type="dxa"/>
          </w:tcPr>
          <w:p w14:paraId="07106A4D"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2, 4</w:t>
            </w:r>
          </w:p>
        </w:tc>
      </w:tr>
      <w:tr w:rsidR="00864757" w:rsidRPr="00E47091" w14:paraId="509348CC" w14:textId="77777777" w:rsidTr="2C6C7817">
        <w:tc>
          <w:tcPr>
            <w:tcW w:w="2062" w:type="dxa"/>
          </w:tcPr>
          <w:p w14:paraId="4D7E20AC"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Cura</w:t>
            </w:r>
          </w:p>
        </w:tc>
        <w:tc>
          <w:tcPr>
            <w:tcW w:w="1469" w:type="dxa"/>
          </w:tcPr>
          <w:p w14:paraId="7AB83BD3" w14:textId="77777777" w:rsidR="00864757" w:rsidRPr="00E47091" w:rsidRDefault="00864757" w:rsidP="00A655ED">
            <w:pPr>
              <w:jc w:val="both"/>
              <w:rPr>
                <w:rFonts w:ascii="Times New Roman" w:hAnsi="Times New Roman" w:cs="Times New Roman"/>
                <w:lang w:val="en-GB"/>
              </w:rPr>
            </w:pPr>
          </w:p>
        </w:tc>
        <w:tc>
          <w:tcPr>
            <w:tcW w:w="5615" w:type="dxa"/>
          </w:tcPr>
          <w:p w14:paraId="08DC0996"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La fornitura di ciò che è necessario per la salute, il benessere, il mantenimento e la protezione di qualcuno o qualcosa. Questa definizione comprende un'ampia gamma di attività e atteggiamenti mirati a promuovere il benessere e il sostegno. Per cura si considerano le attività volte a supportare i bisogni degli individui e a fornire sostegno per migliorare la loro qualità di vita.</w:t>
            </w:r>
          </w:p>
        </w:tc>
        <w:tc>
          <w:tcPr>
            <w:tcW w:w="616" w:type="dxa"/>
          </w:tcPr>
          <w:p w14:paraId="7C6883C0"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28, 29</w:t>
            </w:r>
          </w:p>
        </w:tc>
      </w:tr>
      <w:tr w:rsidR="00864757" w:rsidRPr="00E47091" w14:paraId="49B193CD" w14:textId="77777777" w:rsidTr="2C6C7817">
        <w:tc>
          <w:tcPr>
            <w:tcW w:w="2062" w:type="dxa"/>
          </w:tcPr>
          <w:p w14:paraId="3D5C9140"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Degrado del suolo</w:t>
            </w:r>
          </w:p>
        </w:tc>
        <w:tc>
          <w:tcPr>
            <w:tcW w:w="1469" w:type="dxa"/>
          </w:tcPr>
          <w:p w14:paraId="233D279B" w14:textId="77777777" w:rsidR="00864757" w:rsidRPr="00E47091" w:rsidRDefault="00864757" w:rsidP="00525540">
            <w:pPr>
              <w:jc w:val="both"/>
              <w:rPr>
                <w:rFonts w:ascii="Times New Roman" w:hAnsi="Times New Roman" w:cs="Times New Roman"/>
                <w:lang w:val="en-GB"/>
              </w:rPr>
            </w:pPr>
          </w:p>
        </w:tc>
        <w:tc>
          <w:tcPr>
            <w:tcW w:w="5615" w:type="dxa"/>
          </w:tcPr>
          <w:p w14:paraId="7C253999"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Processo negativo spesso accelerato dalle attività umane (uso improprio del suolo e pratiche di coltivazione, impermeabilizzazione del suolo) che porta al deterioramento delle proprietà e delle funzioni del suolo o alla sua distruzione nel suo complesso, per es. compattazione, erosione, salinizzazione.</w:t>
            </w:r>
          </w:p>
        </w:tc>
        <w:tc>
          <w:tcPr>
            <w:tcW w:w="616" w:type="dxa"/>
          </w:tcPr>
          <w:p w14:paraId="3B1FB00C"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2,3</w:t>
            </w:r>
          </w:p>
        </w:tc>
      </w:tr>
      <w:tr w:rsidR="00864757" w:rsidRPr="00E47091" w14:paraId="7DF31936" w14:textId="77777777" w:rsidTr="2C6C7817">
        <w:tc>
          <w:tcPr>
            <w:tcW w:w="2062" w:type="dxa"/>
          </w:tcPr>
          <w:p w14:paraId="3C7FF857"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Denitrificazione</w:t>
            </w:r>
          </w:p>
        </w:tc>
        <w:tc>
          <w:tcPr>
            <w:tcW w:w="1469" w:type="dxa"/>
          </w:tcPr>
          <w:p w14:paraId="1466E56B" w14:textId="77777777" w:rsidR="00864757" w:rsidRPr="00E47091" w:rsidRDefault="00864757" w:rsidP="002A67F8">
            <w:pPr>
              <w:jc w:val="both"/>
              <w:rPr>
                <w:rFonts w:ascii="Times New Roman" w:hAnsi="Times New Roman" w:cs="Times New Roman"/>
                <w:lang w:val="en-GB"/>
              </w:rPr>
            </w:pPr>
          </w:p>
        </w:tc>
        <w:tc>
          <w:tcPr>
            <w:tcW w:w="5615" w:type="dxa"/>
          </w:tcPr>
          <w:p w14:paraId="4A7BFC1B"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 xml:space="preserve">Un processo ad opera di alcune specie di batteri anaerobici del suolo in cui il nitrito o il nitrato si converte in azoto gassoso </w:t>
            </w:r>
            <w:r w:rsidRPr="00E47091">
              <w:rPr>
                <w:rFonts w:ascii="Times New Roman" w:hAnsi="Times New Roman" w:cs="Times New Roman"/>
                <w:lang w:val="it"/>
              </w:rPr>
              <w:lastRenderedPageBreak/>
              <w:t>(N</w:t>
            </w:r>
            <w:r w:rsidRPr="00E47091">
              <w:rPr>
                <w:rFonts w:ascii="Times New Roman" w:hAnsi="Times New Roman" w:cs="Times New Roman"/>
                <w:vertAlign w:val="subscript"/>
                <w:lang w:val="it"/>
              </w:rPr>
              <w:t>2</w:t>
            </w:r>
            <w:r w:rsidRPr="00E47091">
              <w:rPr>
                <w:rFonts w:ascii="Times New Roman" w:hAnsi="Times New Roman" w:cs="Times New Roman"/>
                <w:lang w:val="it"/>
              </w:rPr>
              <w:t>) o protossido di azoto (N</w:t>
            </w:r>
            <w:r w:rsidRPr="00E47091">
              <w:rPr>
                <w:rFonts w:ascii="Times New Roman" w:hAnsi="Times New Roman" w:cs="Times New Roman"/>
                <w:vertAlign w:val="subscript"/>
                <w:lang w:val="it"/>
              </w:rPr>
              <w:t>2</w:t>
            </w:r>
            <w:r w:rsidRPr="00E47091">
              <w:rPr>
                <w:rFonts w:ascii="Times New Roman" w:hAnsi="Times New Roman" w:cs="Times New Roman"/>
                <w:lang w:val="it"/>
              </w:rPr>
              <w:t>O). Sia il N</w:t>
            </w:r>
            <w:r w:rsidRPr="00E47091">
              <w:rPr>
                <w:rFonts w:ascii="Times New Roman" w:hAnsi="Times New Roman" w:cs="Times New Roman"/>
                <w:vertAlign w:val="subscript"/>
                <w:lang w:val="it"/>
              </w:rPr>
              <w:t>2</w:t>
            </w:r>
            <w:r w:rsidRPr="00E47091">
              <w:rPr>
                <w:rFonts w:ascii="Times New Roman" w:hAnsi="Times New Roman" w:cs="Times New Roman"/>
                <w:lang w:val="it"/>
              </w:rPr>
              <w:t xml:space="preserve"> sia il N</w:t>
            </w:r>
            <w:r w:rsidRPr="00E47091">
              <w:rPr>
                <w:rFonts w:ascii="Times New Roman" w:hAnsi="Times New Roman" w:cs="Times New Roman"/>
                <w:vertAlign w:val="subscript"/>
                <w:lang w:val="it"/>
              </w:rPr>
              <w:t>2</w:t>
            </w:r>
            <w:r w:rsidRPr="00E47091">
              <w:rPr>
                <w:rFonts w:ascii="Times New Roman" w:hAnsi="Times New Roman" w:cs="Times New Roman"/>
                <w:lang w:val="it"/>
              </w:rPr>
              <w:t>O sono volatili e si disperdono nell'atmosfera.</w:t>
            </w:r>
          </w:p>
        </w:tc>
        <w:tc>
          <w:tcPr>
            <w:tcW w:w="616" w:type="dxa"/>
          </w:tcPr>
          <w:p w14:paraId="11838788"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3</w:t>
            </w:r>
          </w:p>
        </w:tc>
      </w:tr>
      <w:tr w:rsidR="00864757" w:rsidRPr="00E47091" w14:paraId="567BE8A6" w14:textId="77777777" w:rsidTr="2C6C7817">
        <w:tc>
          <w:tcPr>
            <w:tcW w:w="2062" w:type="dxa"/>
          </w:tcPr>
          <w:p w14:paraId="721B1E48"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Desertificazione</w:t>
            </w:r>
          </w:p>
        </w:tc>
        <w:tc>
          <w:tcPr>
            <w:tcW w:w="1469" w:type="dxa"/>
          </w:tcPr>
          <w:p w14:paraId="15659F21" w14:textId="77777777" w:rsidR="00864757" w:rsidRPr="00E47091" w:rsidRDefault="00864757" w:rsidP="002A67F8">
            <w:pPr>
              <w:jc w:val="both"/>
              <w:rPr>
                <w:rFonts w:ascii="Times New Roman" w:hAnsi="Times New Roman" w:cs="Times New Roman"/>
                <w:lang w:val="en-GB"/>
              </w:rPr>
            </w:pPr>
          </w:p>
        </w:tc>
        <w:tc>
          <w:tcPr>
            <w:tcW w:w="5615" w:type="dxa"/>
          </w:tcPr>
          <w:p w14:paraId="769668E9"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Il processo mediante il quale un terreno relativamente secco diventa sempre più arido, in genere perdendo la sua massa d'acqua, oltre alla vegetazione e alla fauna, o direttamente a causa del cambiamento climatico o indirettamente a causa del degrado del suolo dovuto a una cattiva gestione.</w:t>
            </w:r>
          </w:p>
        </w:tc>
        <w:tc>
          <w:tcPr>
            <w:tcW w:w="616" w:type="dxa"/>
          </w:tcPr>
          <w:p w14:paraId="0343AE21"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2A358856" w14:textId="77777777" w:rsidTr="2C6C7817">
        <w:tc>
          <w:tcPr>
            <w:tcW w:w="2062" w:type="dxa"/>
          </w:tcPr>
          <w:p w14:paraId="6A991F24"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Drenaggio (naturale)</w:t>
            </w:r>
          </w:p>
        </w:tc>
        <w:tc>
          <w:tcPr>
            <w:tcW w:w="1469" w:type="dxa"/>
          </w:tcPr>
          <w:p w14:paraId="0F4C9C12" w14:textId="77777777" w:rsidR="00864757" w:rsidRPr="00E47091" w:rsidRDefault="00864757" w:rsidP="002A67F8">
            <w:pPr>
              <w:jc w:val="both"/>
              <w:rPr>
                <w:rFonts w:ascii="Times New Roman" w:hAnsi="Times New Roman" w:cs="Times New Roman"/>
                <w:lang w:val="en-GB"/>
              </w:rPr>
            </w:pPr>
          </w:p>
        </w:tc>
        <w:tc>
          <w:tcPr>
            <w:tcW w:w="5615" w:type="dxa"/>
          </w:tcPr>
          <w:p w14:paraId="090C18E9" w14:textId="77777777" w:rsidR="00864757" w:rsidRPr="00E47091" w:rsidRDefault="00864757" w:rsidP="002A67F8">
            <w:pPr>
              <w:jc w:val="both"/>
              <w:rPr>
                <w:rFonts w:ascii="Times New Roman" w:hAnsi="Times New Roman" w:cs="Times New Roman"/>
                <w:lang w:val="it-IT"/>
              </w:rPr>
            </w:pPr>
          </w:p>
          <w:p w14:paraId="3024693A"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La capacità naturale del profilo del suolo di drenare l'acqua in eccesso per percolazione, in contrapposizione al drenaggio artificiale che solitamente avviene attraverso un sistema di scarichi o fossati.</w:t>
            </w:r>
          </w:p>
        </w:tc>
        <w:tc>
          <w:tcPr>
            <w:tcW w:w="616" w:type="dxa"/>
          </w:tcPr>
          <w:p w14:paraId="7FE5B3F4"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4E9C0E57" w14:textId="77777777" w:rsidTr="2C6C7817">
        <w:tc>
          <w:tcPr>
            <w:tcW w:w="2062" w:type="dxa"/>
          </w:tcPr>
          <w:p w14:paraId="62BC05E9"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Edafon</w:t>
            </w:r>
          </w:p>
        </w:tc>
        <w:tc>
          <w:tcPr>
            <w:tcW w:w="1469" w:type="dxa"/>
          </w:tcPr>
          <w:p w14:paraId="623B9E19" w14:textId="77777777" w:rsidR="00864757" w:rsidRPr="00E47091" w:rsidRDefault="00864757" w:rsidP="002A67F8">
            <w:pPr>
              <w:jc w:val="both"/>
              <w:rPr>
                <w:rFonts w:ascii="Times New Roman" w:hAnsi="Times New Roman" w:cs="Times New Roman"/>
                <w:lang w:val="en-GB"/>
              </w:rPr>
            </w:pPr>
          </w:p>
        </w:tc>
        <w:tc>
          <w:tcPr>
            <w:tcW w:w="5615" w:type="dxa"/>
          </w:tcPr>
          <w:p w14:paraId="242D18D9"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La comunità degli organismi del suolo (per es. batteri, funghi, nematodi, lombrichi, insetti, protozoi).</w:t>
            </w:r>
          </w:p>
        </w:tc>
        <w:tc>
          <w:tcPr>
            <w:tcW w:w="616" w:type="dxa"/>
          </w:tcPr>
          <w:p w14:paraId="711F08A8"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2C507CCC" w14:textId="77777777" w:rsidTr="2C6C7817">
        <w:tc>
          <w:tcPr>
            <w:tcW w:w="2062" w:type="dxa"/>
          </w:tcPr>
          <w:p w14:paraId="53DEFC71"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Educazione al suolo</w:t>
            </w:r>
          </w:p>
        </w:tc>
        <w:tc>
          <w:tcPr>
            <w:tcW w:w="1469" w:type="dxa"/>
          </w:tcPr>
          <w:p w14:paraId="2C8756EA" w14:textId="77777777" w:rsidR="00864757" w:rsidRPr="00E47091" w:rsidRDefault="00864757" w:rsidP="00A655ED">
            <w:pPr>
              <w:jc w:val="both"/>
              <w:rPr>
                <w:rFonts w:ascii="Times New Roman" w:hAnsi="Times New Roman" w:cs="Times New Roman"/>
                <w:lang w:val="en-GB"/>
              </w:rPr>
            </w:pPr>
          </w:p>
        </w:tc>
        <w:tc>
          <w:tcPr>
            <w:tcW w:w="5615" w:type="dxa"/>
          </w:tcPr>
          <w:p w14:paraId="5F1E1D02"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 xml:space="preserve">L’educazione al suolo è la comprensione e la conoscenza del ruolo del suolo negli ecosistemi, nell'agricoltura e nella salute ambientale. Comprende la consapevolezza della composizione, delle funzioni e delle pratiche di gestione del suolo che ne promuovono un uso sostenibile. </w:t>
            </w:r>
          </w:p>
          <w:p w14:paraId="214BB2F1"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Gli aspetti chiave dell’educazione al suolo sono:</w:t>
            </w:r>
          </w:p>
          <w:p w14:paraId="701C7986"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Comprendere l’importanza della composizione del suolo</w:t>
            </w:r>
            <w:r w:rsidRPr="00E47091">
              <w:rPr>
                <w:rFonts w:ascii="Times New Roman" w:hAnsi="Times New Roman" w:cs="Times New Roman"/>
                <w:lang w:val="it"/>
              </w:rPr>
              <w:t>: Conoscere le proprietà fisiche e chimiche del suolo, che includono composizione mineralogica, contenuto di materia organica e condizioni di umidità.</w:t>
            </w:r>
          </w:p>
          <w:p w14:paraId="0F6F0FCE"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bCs/>
                <w:lang w:val="it"/>
              </w:rPr>
              <w:t>Funzioni del suolo</w:t>
            </w:r>
            <w:r w:rsidRPr="00E47091">
              <w:rPr>
                <w:rFonts w:ascii="Times New Roman" w:hAnsi="Times New Roman" w:cs="Times New Roman"/>
                <w:lang w:val="it"/>
              </w:rPr>
              <w:t>: Consapevolezza dei vari ruoli svolti dal suolo, come il supporto alla crescita delle piante, la regolazione del ciclo dell'acqua, l'immagazzinamento del carbonio e la fornitura di un habitat per gli organismi.</w:t>
            </w:r>
          </w:p>
          <w:p w14:paraId="32BE0AB5"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Pratiche di gestione del suolo</w:t>
            </w:r>
            <w:r w:rsidRPr="00E47091">
              <w:rPr>
                <w:rFonts w:ascii="Times New Roman" w:hAnsi="Times New Roman" w:cs="Times New Roman"/>
                <w:lang w:val="it"/>
              </w:rPr>
              <w:t>: Conoscenza di pratiche sostenibili che migliorano la salute del suolo, come rotazione delle colture, copertura vegetale, riduzione della lavorazione del suolo e uso di ammendanti organici.</w:t>
            </w:r>
          </w:p>
          <w:p w14:paraId="3FAD966C"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Impatto sugli ecosistemi</w:t>
            </w:r>
            <w:r w:rsidRPr="00E47091">
              <w:rPr>
                <w:rFonts w:ascii="Times New Roman" w:hAnsi="Times New Roman" w:cs="Times New Roman"/>
                <w:lang w:val="it"/>
              </w:rPr>
              <w:t>: Riconoscere come la salute del suolo influisce su questioni ambientali più ampie come la biodiversità, il cambiamento climatico e la qualità dell'acqua.</w:t>
            </w:r>
          </w:p>
          <w:p w14:paraId="017090D1"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Impegno della comunità</w:t>
            </w:r>
            <w:r w:rsidRPr="00E47091">
              <w:rPr>
                <w:rFonts w:ascii="Times New Roman" w:hAnsi="Times New Roman" w:cs="Times New Roman"/>
                <w:lang w:val="it"/>
              </w:rPr>
              <w:t>: Incoraggiare le comunità locali a impegnarsi nelle problematiche del suolo attraverso l'istruzione e pratiche partecipative.</w:t>
            </w:r>
          </w:p>
          <w:p w14:paraId="567064C3"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L’educazione al suolo è fondamentale per promuovere pratiche agricole sostenibili e gestione responsabile dell’ambiente. Permette ai singoli e alle comunità di prendere decisioni informate rispetto all'uso del suolo e agli sforzi di conservazione.</w:t>
            </w:r>
          </w:p>
        </w:tc>
        <w:tc>
          <w:tcPr>
            <w:tcW w:w="616" w:type="dxa"/>
          </w:tcPr>
          <w:p w14:paraId="30D66795"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23, Loess</w:t>
            </w:r>
          </w:p>
        </w:tc>
      </w:tr>
      <w:tr w:rsidR="00864757" w:rsidRPr="00E47091" w14:paraId="12BAB640" w14:textId="77777777" w:rsidTr="2C6C7817">
        <w:tc>
          <w:tcPr>
            <w:tcW w:w="2062" w:type="dxa"/>
          </w:tcPr>
          <w:p w14:paraId="26D06465"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Erosione del suolo</w:t>
            </w:r>
          </w:p>
        </w:tc>
        <w:tc>
          <w:tcPr>
            <w:tcW w:w="1469" w:type="dxa"/>
          </w:tcPr>
          <w:p w14:paraId="23A838B5" w14:textId="77777777" w:rsidR="00864757" w:rsidRPr="00E47091" w:rsidRDefault="00864757" w:rsidP="002A67F8">
            <w:pPr>
              <w:jc w:val="both"/>
              <w:rPr>
                <w:rFonts w:ascii="Times New Roman" w:hAnsi="Times New Roman" w:cs="Times New Roman"/>
                <w:lang w:val="en-GB"/>
              </w:rPr>
            </w:pPr>
          </w:p>
        </w:tc>
        <w:tc>
          <w:tcPr>
            <w:tcW w:w="5615" w:type="dxa"/>
          </w:tcPr>
          <w:p w14:paraId="07942C35" w14:textId="77777777" w:rsidR="00864757" w:rsidRPr="00E47091" w:rsidRDefault="00864757" w:rsidP="00E03E8D">
            <w:pPr>
              <w:jc w:val="both"/>
              <w:rPr>
                <w:rFonts w:ascii="Times New Roman" w:hAnsi="Times New Roman" w:cs="Times New Roman"/>
                <w:lang w:val="it-IT"/>
              </w:rPr>
            </w:pPr>
            <w:bookmarkStart w:id="1" w:name="_Hlk187700130"/>
            <w:r w:rsidRPr="00E47091">
              <w:rPr>
                <w:rFonts w:ascii="Times New Roman" w:hAnsi="Times New Roman" w:cs="Times New Roman"/>
                <w:lang w:val="it"/>
              </w:rPr>
              <w:t xml:space="preserve">L'erosione è la rimozione di terra o suolo attraverso uno o più processi. Le cause principali dell'erosione includono l'azione dell'acqua (erosione incanalata, erosione distribuita, scioglimento della neve ed erosione delle rive di fiumi e laghi), del vento (deterioramento e depositi eolici), della traslocazione (lavorazione del suolo, livellamento del terreno, raccolta di radici commestibili, calpestio e animali scavatori) e delle attività geologiche (erosione sotterranea interna da parte delle falde acquifere, erosione costiera e frane). L'erosione può essere aggravata anche da una cattiva gestione del suolo, come sovrapascolo, deforestazione o uso </w:t>
            </w:r>
            <w:r w:rsidRPr="00E47091">
              <w:rPr>
                <w:rFonts w:ascii="Times New Roman" w:hAnsi="Times New Roman" w:cs="Times New Roman"/>
                <w:lang w:val="it"/>
              </w:rPr>
              <w:lastRenderedPageBreak/>
              <w:t xml:space="preserve">inappropriato della meccanizzazione (per es. arare lungo un pendio). </w:t>
            </w:r>
          </w:p>
          <w:bookmarkEnd w:id="1"/>
          <w:p w14:paraId="5A70A66C" w14:textId="77777777" w:rsidR="00864757" w:rsidRPr="00E47091" w:rsidRDefault="00864757" w:rsidP="00E03E8D">
            <w:pPr>
              <w:jc w:val="both"/>
              <w:rPr>
                <w:rFonts w:ascii="Times New Roman" w:hAnsi="Times New Roman" w:cs="Times New Roman"/>
                <w:lang w:val="it-IT"/>
              </w:rPr>
            </w:pPr>
            <w:r w:rsidRPr="00E47091">
              <w:rPr>
                <w:rFonts w:ascii="Times New Roman" w:hAnsi="Times New Roman" w:cs="Times New Roman"/>
                <w:lang w:val="it"/>
              </w:rPr>
              <w:t xml:space="preserve">Esempio di catena di erosione del suolo secondo </w:t>
            </w:r>
            <w:r w:rsidRPr="00E47091">
              <w:rPr>
                <w:rFonts w:ascii="Times New Roman" w:hAnsi="Times New Roman" w:cs="Times New Roman"/>
                <w:color w:val="000000" w:themeColor="text1"/>
                <w:lang w:val="it"/>
              </w:rPr>
              <w:t xml:space="preserve">Radziuk and Świtoniak (2022; </w:t>
            </w:r>
            <w:r w:rsidRPr="00E47091">
              <w:rPr>
                <w:rFonts w:ascii="Times New Roman" w:hAnsi="Times New Roman" w:cs="Times New Roman"/>
                <w:lang w:val="it"/>
              </w:rPr>
              <w:t>6).</w:t>
            </w:r>
          </w:p>
          <w:p w14:paraId="2EAD6DC7" w14:textId="77777777" w:rsidR="00864757" w:rsidRPr="00E47091" w:rsidRDefault="00864757" w:rsidP="00E03E8D">
            <w:pPr>
              <w:jc w:val="both"/>
              <w:rPr>
                <w:rFonts w:ascii="Times New Roman" w:hAnsi="Times New Roman" w:cs="Times New Roman"/>
                <w:lang w:val="it-IT"/>
              </w:rPr>
            </w:pPr>
          </w:p>
          <w:p w14:paraId="4E593E63" w14:textId="77777777" w:rsidR="00864757" w:rsidRPr="00E47091" w:rsidRDefault="00864757" w:rsidP="002A67F8">
            <w:pPr>
              <w:jc w:val="both"/>
              <w:rPr>
                <w:rFonts w:ascii="Times New Roman" w:hAnsi="Times New Roman" w:cs="Times New Roman"/>
                <w:lang w:val="en-GB"/>
              </w:rPr>
            </w:pPr>
            <w:r w:rsidRPr="00E47091">
              <w:rPr>
                <w:rFonts w:ascii="Times New Roman" w:hAnsi="Times New Roman" w:cs="Times New Roman"/>
                <w:noProof/>
                <w:lang w:val="it"/>
              </w:rPr>
              <w:drawing>
                <wp:inline distT="0" distB="0" distL="0" distR="0" wp14:anchorId="516F0775" wp14:editId="2B7DFD28">
                  <wp:extent cx="3393110" cy="3214756"/>
                  <wp:effectExtent l="0" t="0" r="0" b="0"/>
                  <wp:docPr id="11602885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1980" cy="3223160"/>
                          </a:xfrm>
                          <a:prstGeom prst="rect">
                            <a:avLst/>
                          </a:prstGeom>
                        </pic:spPr>
                      </pic:pic>
                    </a:graphicData>
                  </a:graphic>
                </wp:inline>
              </w:drawing>
            </w:r>
          </w:p>
          <w:p w14:paraId="50BB46A9" w14:textId="77777777" w:rsidR="00864757" w:rsidRPr="00E47091" w:rsidRDefault="00864757" w:rsidP="002A67F8">
            <w:pPr>
              <w:jc w:val="both"/>
              <w:rPr>
                <w:rStyle w:val="Hyperlink"/>
                <w:rFonts w:ascii="Times New Roman" w:hAnsi="Times New Roman" w:cs="Times New Roman"/>
                <w:color w:val="000000" w:themeColor="text1"/>
                <w:u w:val="none"/>
                <w:lang w:val="en-GB"/>
              </w:rPr>
            </w:pPr>
            <w:r w:rsidRPr="00E47091">
              <w:rPr>
                <w:rFonts w:ascii="Times New Roman" w:hAnsi="Times New Roman" w:cs="Times New Roman"/>
                <w:lang w:val="en-GB"/>
              </w:rPr>
              <w:t>Fonte:</w:t>
            </w:r>
            <w:r w:rsidRPr="00E47091">
              <w:rPr>
                <w:rFonts w:ascii="Times New Roman" w:hAnsi="Times New Roman" w:cs="Times New Roman"/>
                <w:color w:val="000000" w:themeColor="text1"/>
                <w:lang w:val="en-GB"/>
              </w:rPr>
              <w:t xml:space="preserve"> Radziuk and Świtoniak. 2022. Agronomy (MDPI), </w:t>
            </w:r>
            <w:hyperlink r:id="rId16" w:history="1">
              <w:r w:rsidRPr="00E47091">
                <w:rPr>
                  <w:rStyle w:val="Hyperlink"/>
                  <w:rFonts w:ascii="Times New Roman" w:hAnsi="Times New Roman" w:cs="Times New Roman"/>
                  <w:color w:val="000000" w:themeColor="text1"/>
                  <w:u w:val="none"/>
                  <w:lang w:val="en-GB"/>
                </w:rPr>
                <w:t>https://doi.org/10.3390/agronomy12112595</w:t>
              </w:r>
            </w:hyperlink>
          </w:p>
          <w:p w14:paraId="3B92B469" w14:textId="77777777" w:rsidR="00864757" w:rsidRPr="00E47091" w:rsidRDefault="00864757" w:rsidP="002A67F8">
            <w:pPr>
              <w:jc w:val="both"/>
              <w:rPr>
                <w:rFonts w:ascii="Times New Roman" w:hAnsi="Times New Roman" w:cs="Times New Roman"/>
                <w:lang w:val="en-GB"/>
              </w:rPr>
            </w:pPr>
          </w:p>
        </w:tc>
        <w:tc>
          <w:tcPr>
            <w:tcW w:w="616" w:type="dxa"/>
          </w:tcPr>
          <w:p w14:paraId="061FF305"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13,6</w:t>
            </w:r>
          </w:p>
        </w:tc>
      </w:tr>
      <w:tr w:rsidR="00864757" w:rsidRPr="00E47091" w14:paraId="39716391" w14:textId="77777777" w:rsidTr="2C6C7817">
        <w:tc>
          <w:tcPr>
            <w:tcW w:w="2062" w:type="dxa"/>
          </w:tcPr>
          <w:p w14:paraId="1FEE67E7"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Esaurimento</w:t>
            </w:r>
          </w:p>
        </w:tc>
        <w:tc>
          <w:tcPr>
            <w:tcW w:w="1469" w:type="dxa"/>
          </w:tcPr>
          <w:p w14:paraId="1814DAAB" w14:textId="77777777" w:rsidR="00864757" w:rsidRPr="00E47091" w:rsidRDefault="00864757" w:rsidP="002A67F8">
            <w:pPr>
              <w:jc w:val="both"/>
              <w:rPr>
                <w:rFonts w:ascii="Times New Roman" w:hAnsi="Times New Roman" w:cs="Times New Roman"/>
                <w:lang w:val="en-GB"/>
              </w:rPr>
            </w:pPr>
          </w:p>
        </w:tc>
        <w:tc>
          <w:tcPr>
            <w:tcW w:w="5615" w:type="dxa"/>
          </w:tcPr>
          <w:p w14:paraId="73158C1D"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Il graduale esaurimento delle riserve di nutrienti e di materia organica nel suolo.</w:t>
            </w:r>
          </w:p>
        </w:tc>
        <w:tc>
          <w:tcPr>
            <w:tcW w:w="616" w:type="dxa"/>
          </w:tcPr>
          <w:p w14:paraId="1CAD2501"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07286140" w14:textId="77777777" w:rsidTr="2C6C7817">
        <w:tc>
          <w:tcPr>
            <w:tcW w:w="2062" w:type="dxa"/>
          </w:tcPr>
          <w:p w14:paraId="4E058119"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Estensivizzazione</w:t>
            </w:r>
          </w:p>
        </w:tc>
        <w:tc>
          <w:tcPr>
            <w:tcW w:w="1469" w:type="dxa"/>
          </w:tcPr>
          <w:p w14:paraId="44368A9A" w14:textId="77777777" w:rsidR="00864757" w:rsidRPr="00E47091" w:rsidRDefault="00864757" w:rsidP="002A67F8">
            <w:pPr>
              <w:jc w:val="both"/>
              <w:rPr>
                <w:rFonts w:ascii="Times New Roman" w:hAnsi="Times New Roman" w:cs="Times New Roman"/>
                <w:lang w:val="en-GB"/>
              </w:rPr>
            </w:pPr>
          </w:p>
        </w:tc>
        <w:tc>
          <w:tcPr>
            <w:tcW w:w="5615" w:type="dxa"/>
          </w:tcPr>
          <w:p w14:paraId="7B700CB5" w14:textId="77777777" w:rsidR="00864757" w:rsidRPr="00864757" w:rsidRDefault="00864757" w:rsidP="002A67F8">
            <w:pPr>
              <w:jc w:val="both"/>
              <w:rPr>
                <w:rFonts w:ascii="Times New Roman" w:hAnsi="Times New Roman" w:cs="Times New Roman"/>
                <w:lang w:val="it-IT"/>
              </w:rPr>
            </w:pPr>
            <w:r w:rsidRPr="00E47091">
              <w:rPr>
                <w:rFonts w:ascii="Times New Roman" w:hAnsi="Times New Roman" w:cs="Times New Roman"/>
                <w:lang w:val="it"/>
              </w:rPr>
              <w:t>Il processo di riduzione dell'uso di capitale e di input (per es. fertilizzanti, pesticidi, macchinari, energia) in relazione alla superficie del suolo. Grazie alla riduzione degli input per superficie del suolo, si può diminuire la pressione sull'ambiente. Per esempio, è probabile che un minor uso di pesticidi riduca il rischio di deflusso di pesticidi nelle acque superficiali e sotterranee (‘perdita per unità di superficie’). Tuttavia l’effetto reale di un uso ridotto degli input sull’ambiente non dipende solo dalla quantità di input utilizzati, ma anche da come vengono applicati e dalla misura in cui l’uso ridotto degli input determina una produzione minore (‘perdita per unità di prodotto’). Pertanto l'estensivizzazione non porta necessariamente a una situazione più favorevole per l'ambiente.</w:t>
            </w:r>
          </w:p>
        </w:tc>
        <w:tc>
          <w:tcPr>
            <w:tcW w:w="616" w:type="dxa"/>
          </w:tcPr>
          <w:p w14:paraId="14A488F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676410F4" w14:textId="77777777" w:rsidTr="2C6C7817">
        <w:tc>
          <w:tcPr>
            <w:tcW w:w="2062" w:type="dxa"/>
          </w:tcPr>
          <w:p w14:paraId="33279A16"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Eutrofizzazione</w:t>
            </w:r>
          </w:p>
        </w:tc>
        <w:tc>
          <w:tcPr>
            <w:tcW w:w="1469" w:type="dxa"/>
          </w:tcPr>
          <w:p w14:paraId="114EFC8F" w14:textId="77777777" w:rsidR="00864757" w:rsidRPr="00E47091" w:rsidRDefault="00864757" w:rsidP="002A67F8">
            <w:pPr>
              <w:jc w:val="both"/>
              <w:rPr>
                <w:rFonts w:ascii="Times New Roman" w:hAnsi="Times New Roman" w:cs="Times New Roman"/>
                <w:lang w:val="en-GB"/>
              </w:rPr>
            </w:pPr>
          </w:p>
        </w:tc>
        <w:tc>
          <w:tcPr>
            <w:tcW w:w="5615" w:type="dxa"/>
          </w:tcPr>
          <w:p w14:paraId="1E3BC721"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Processo attraverso il quale un corpo idrico, come un lago o una soluzione di suolo, si arricchisce di sostanze nutritive disciolte. Questo processo può essere naturale ma spesso è dovuto all’inquinamento. L’eutrofizzazione può determinare la fioritura di alghe che possono generare condizioni anaerobiche potenzialmente nocive per la vita della fauna ittica.</w:t>
            </w:r>
          </w:p>
        </w:tc>
        <w:tc>
          <w:tcPr>
            <w:tcW w:w="616" w:type="dxa"/>
          </w:tcPr>
          <w:p w14:paraId="7652F3E8"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7CDABAF8" w14:textId="77777777" w:rsidTr="2C6C7817">
        <w:tc>
          <w:tcPr>
            <w:tcW w:w="2062" w:type="dxa"/>
          </w:tcPr>
          <w:p w14:paraId="04EB3C48"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Evapotraspirazione</w:t>
            </w:r>
          </w:p>
        </w:tc>
        <w:tc>
          <w:tcPr>
            <w:tcW w:w="1469" w:type="dxa"/>
          </w:tcPr>
          <w:p w14:paraId="4F744F40" w14:textId="77777777" w:rsidR="00864757" w:rsidRPr="00E47091" w:rsidRDefault="00864757" w:rsidP="002A67F8">
            <w:pPr>
              <w:jc w:val="both"/>
              <w:rPr>
                <w:rFonts w:ascii="Times New Roman" w:hAnsi="Times New Roman" w:cs="Times New Roman"/>
                <w:color w:val="3A7C22" w:themeColor="accent6" w:themeShade="BF"/>
                <w:lang w:val="en-GB"/>
              </w:rPr>
            </w:pPr>
          </w:p>
        </w:tc>
        <w:tc>
          <w:tcPr>
            <w:tcW w:w="5615" w:type="dxa"/>
          </w:tcPr>
          <w:p w14:paraId="3C1133D3"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 xml:space="preserve">Il processo mediante il quale l'acqua passa dallo stato liquido allo stato di vapore (gassoso) attraverso la traspirazione della vegetazione e l'evaporazione dal suolo e dalle superfici delle piante. Il tasso di evapotraspirazione è solitamente espresso in </w:t>
            </w:r>
            <w:r w:rsidRPr="00E47091">
              <w:rPr>
                <w:rFonts w:ascii="Times New Roman" w:hAnsi="Times New Roman" w:cs="Times New Roman"/>
                <w:lang w:val="it"/>
              </w:rPr>
              <w:lastRenderedPageBreak/>
              <w:t>mm giorno-¹; si può fare una distinzione tra evapotraspirazione potenziale in condizioni di disponibilità illimitata di acqua ed evapotraspirazione effettiva in condizioni di disponibilità limitata.</w:t>
            </w:r>
          </w:p>
        </w:tc>
        <w:tc>
          <w:tcPr>
            <w:tcW w:w="616" w:type="dxa"/>
          </w:tcPr>
          <w:p w14:paraId="7AFDFCDE"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4</w:t>
            </w:r>
          </w:p>
        </w:tc>
      </w:tr>
      <w:tr w:rsidR="00864757" w:rsidRPr="00E47091" w14:paraId="570AA79B" w14:textId="77777777" w:rsidTr="2C6C7817">
        <w:tc>
          <w:tcPr>
            <w:tcW w:w="2062" w:type="dxa"/>
          </w:tcPr>
          <w:p w14:paraId="6E43B2B4"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Fertilità del suolo</w:t>
            </w:r>
          </w:p>
        </w:tc>
        <w:tc>
          <w:tcPr>
            <w:tcW w:w="1469" w:type="dxa"/>
          </w:tcPr>
          <w:p w14:paraId="362B91E9" w14:textId="77777777" w:rsidR="00864757" w:rsidRPr="00E47091" w:rsidRDefault="00864757" w:rsidP="00525540">
            <w:pPr>
              <w:jc w:val="both"/>
              <w:rPr>
                <w:rFonts w:ascii="Times New Roman" w:hAnsi="Times New Roman" w:cs="Times New Roman"/>
                <w:lang w:val="en-GB"/>
              </w:rPr>
            </w:pPr>
          </w:p>
        </w:tc>
        <w:tc>
          <w:tcPr>
            <w:tcW w:w="5615" w:type="dxa"/>
          </w:tcPr>
          <w:p w14:paraId="40896E7D"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capacità del suolo di fornire nutrienti essenziali e acqua in quantità e proporzioni adeguate per la crescita e la riproduzione delle piante. Caratterizzata da proprietà chimiche, fisiche e biologiche favorevoli come habitat per la crescita delle piante.</w:t>
            </w:r>
          </w:p>
        </w:tc>
        <w:tc>
          <w:tcPr>
            <w:tcW w:w="616" w:type="dxa"/>
          </w:tcPr>
          <w:p w14:paraId="736078E4"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2, 4</w:t>
            </w:r>
          </w:p>
        </w:tc>
      </w:tr>
      <w:tr w:rsidR="00864757" w:rsidRPr="00E47091" w14:paraId="75699305" w14:textId="77777777" w:rsidTr="2C6C7817">
        <w:tc>
          <w:tcPr>
            <w:tcW w:w="2062" w:type="dxa"/>
          </w:tcPr>
          <w:p w14:paraId="4ECCCAFC"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Fertilizzante organico</w:t>
            </w:r>
          </w:p>
        </w:tc>
        <w:tc>
          <w:tcPr>
            <w:tcW w:w="1469" w:type="dxa"/>
          </w:tcPr>
          <w:p w14:paraId="2194120C" w14:textId="77777777" w:rsidR="00864757" w:rsidRPr="00E47091" w:rsidRDefault="00864757" w:rsidP="00525540">
            <w:pPr>
              <w:jc w:val="both"/>
              <w:rPr>
                <w:rFonts w:ascii="Times New Roman" w:hAnsi="Times New Roman" w:cs="Times New Roman"/>
                <w:lang w:val="en-GB"/>
              </w:rPr>
            </w:pPr>
          </w:p>
        </w:tc>
        <w:tc>
          <w:tcPr>
            <w:tcW w:w="5615" w:type="dxa"/>
          </w:tcPr>
          <w:p w14:paraId="48850A6F"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Fertilizzanti costituiti da materiali di origine vegetale o animale derivanti da sottoprodotti o prodotti finali di processi naturali, come letame animale e materia organica compostata. </w:t>
            </w:r>
          </w:p>
        </w:tc>
        <w:tc>
          <w:tcPr>
            <w:tcW w:w="616" w:type="dxa"/>
          </w:tcPr>
          <w:p w14:paraId="32EE2761"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52A6D763" w14:textId="77777777" w:rsidTr="2C6C7817">
        <w:tc>
          <w:tcPr>
            <w:tcW w:w="2062" w:type="dxa"/>
          </w:tcPr>
          <w:p w14:paraId="6E3A1E66"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Fertilizzazione</w:t>
            </w:r>
          </w:p>
        </w:tc>
        <w:tc>
          <w:tcPr>
            <w:tcW w:w="1469" w:type="dxa"/>
          </w:tcPr>
          <w:p w14:paraId="46AD2B5C" w14:textId="77777777" w:rsidR="00864757" w:rsidRPr="00E47091" w:rsidRDefault="00864757" w:rsidP="00525540">
            <w:pPr>
              <w:jc w:val="both"/>
              <w:rPr>
                <w:rFonts w:ascii="Times New Roman" w:hAnsi="Times New Roman" w:cs="Times New Roman"/>
                <w:lang w:val="en-GB"/>
              </w:rPr>
            </w:pPr>
          </w:p>
        </w:tc>
        <w:tc>
          <w:tcPr>
            <w:tcW w:w="5615" w:type="dxa"/>
          </w:tcPr>
          <w:p w14:paraId="7C654F72"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L'applicazione di composti minerali o organici per mantenere o aumentare la fertilità del suolo. In alcuni casi (per es. la calcinazione) lo scopo della fertilizzazione è anche quello di migliorare specifiche proprietà del suolo (pH, stabilità della struttura del suolo).</w:t>
            </w:r>
          </w:p>
        </w:tc>
        <w:tc>
          <w:tcPr>
            <w:tcW w:w="616" w:type="dxa"/>
          </w:tcPr>
          <w:p w14:paraId="55A5BF40"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39DD698B" w14:textId="77777777" w:rsidTr="2C6C7817">
        <w:tc>
          <w:tcPr>
            <w:tcW w:w="2062" w:type="dxa"/>
          </w:tcPr>
          <w:p w14:paraId="65A1C256"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Funzioni del suolo</w:t>
            </w:r>
          </w:p>
        </w:tc>
        <w:tc>
          <w:tcPr>
            <w:tcW w:w="1469" w:type="dxa"/>
          </w:tcPr>
          <w:p w14:paraId="09A94120" w14:textId="77777777" w:rsidR="00864757" w:rsidRPr="00E47091" w:rsidRDefault="00864757" w:rsidP="00525540">
            <w:pPr>
              <w:jc w:val="both"/>
              <w:rPr>
                <w:rFonts w:ascii="Times New Roman" w:hAnsi="Times New Roman" w:cs="Times New Roman"/>
                <w:lang w:val="en-GB"/>
              </w:rPr>
            </w:pPr>
          </w:p>
        </w:tc>
        <w:tc>
          <w:tcPr>
            <w:tcW w:w="5615" w:type="dxa"/>
          </w:tcPr>
          <w:p w14:paraId="3D3420F9" w14:textId="77777777" w:rsidR="00864757" w:rsidRPr="00E47091" w:rsidRDefault="00864757" w:rsidP="00525540">
            <w:pPr>
              <w:jc w:val="both"/>
              <w:rPr>
                <w:rFonts w:ascii="Times New Roman" w:hAnsi="Times New Roman" w:cs="Times New Roman"/>
                <w:lang w:val="en-GB"/>
              </w:rPr>
            </w:pPr>
            <w:r w:rsidRPr="00E47091">
              <w:rPr>
                <w:rFonts w:ascii="Times New Roman" w:hAnsi="Times New Roman" w:cs="Times New Roman"/>
                <w:lang w:val="it"/>
              </w:rPr>
              <w:t>Le funzioni ecosistemiche sono direttamente e indirettamente associate al suolo. Il suolo svolge molte funzioni e un suolo sano ci dà acqua e aria pulite, raccolti e foreste abbondanti, pascoli produttivi, una fauna selvatica diversificata e paesaggi meravigliosi. Il suolo fa tutto questo svolgendo cinque funzioni essenziali:</w:t>
            </w:r>
          </w:p>
          <w:p w14:paraId="13E1BAB7" w14:textId="77777777" w:rsidR="00864757" w:rsidRPr="00864757" w:rsidRDefault="00864757" w:rsidP="00525540">
            <w:pPr>
              <w:pStyle w:val="ListParagraph"/>
              <w:numPr>
                <w:ilvl w:val="0"/>
                <w:numId w:val="2"/>
              </w:numPr>
              <w:ind w:left="244" w:hanging="244"/>
              <w:jc w:val="both"/>
              <w:rPr>
                <w:rFonts w:ascii="Times New Roman" w:hAnsi="Times New Roman" w:cs="Times New Roman"/>
                <w:lang w:val="it-IT"/>
              </w:rPr>
            </w:pPr>
            <w:r w:rsidRPr="00E47091">
              <w:rPr>
                <w:rFonts w:ascii="Times New Roman" w:hAnsi="Times New Roman" w:cs="Times New Roman"/>
                <w:lang w:val="it"/>
              </w:rPr>
              <w:t>Ciclo dei nutrienti: il suolo immagazzina, ricicla i nutrienti e altri elementi e ne modera il rilascio. Durante questi processi biogeochimici, analoghi al ciclo dell'acqua, i nutrienti possono essere trasformati in forme disponibili per le piante, trattenuti nel suolo o addirittura dispersi nell'aria o nell'acqua.</w:t>
            </w:r>
          </w:p>
          <w:p w14:paraId="55C4B22E" w14:textId="77777777" w:rsidR="00864757" w:rsidRPr="00864757" w:rsidRDefault="00864757" w:rsidP="00525540">
            <w:pPr>
              <w:pStyle w:val="ListParagraph"/>
              <w:numPr>
                <w:ilvl w:val="0"/>
                <w:numId w:val="2"/>
              </w:numPr>
              <w:ind w:left="244" w:hanging="244"/>
              <w:jc w:val="both"/>
              <w:rPr>
                <w:rFonts w:ascii="Times New Roman" w:hAnsi="Times New Roman" w:cs="Times New Roman"/>
                <w:lang w:val="it-IT"/>
              </w:rPr>
            </w:pPr>
            <w:r w:rsidRPr="00E47091">
              <w:rPr>
                <w:rFonts w:ascii="Times New Roman" w:hAnsi="Times New Roman" w:cs="Times New Roman"/>
                <w:lang w:val="it"/>
              </w:rPr>
              <w:t>Relazioni con l'acqua: il suolo può regolare il drenaggio, il flusso e l'immagazzinamento di acqua e soluti, inclusi azoto, fosforo, pesticidi e altri nutrienti e composti disciolti nell'acqua. Con un corretto funzionamento, il suolo ripartisce l'acqua destinata a ricaricare le falde acquifere e a essere usata da piante e animali del suolo.</w:t>
            </w:r>
          </w:p>
          <w:p w14:paraId="75F47549" w14:textId="77777777" w:rsidR="00864757" w:rsidRPr="00864757" w:rsidRDefault="00864757" w:rsidP="00525540">
            <w:pPr>
              <w:pStyle w:val="ListParagraph"/>
              <w:numPr>
                <w:ilvl w:val="0"/>
                <w:numId w:val="2"/>
              </w:numPr>
              <w:ind w:left="244" w:hanging="244"/>
              <w:jc w:val="both"/>
              <w:rPr>
                <w:rFonts w:ascii="Times New Roman" w:hAnsi="Times New Roman" w:cs="Times New Roman"/>
                <w:lang w:val="it-IT"/>
              </w:rPr>
            </w:pPr>
            <w:r w:rsidRPr="00E47091">
              <w:rPr>
                <w:rFonts w:ascii="Times New Roman" w:hAnsi="Times New Roman" w:cs="Times New Roman"/>
                <w:lang w:val="it"/>
              </w:rPr>
              <w:t>Biodiversità e habitat: il suolo supporta la crescita di una varietà di piante, animali e microrganismi del suolo, fornendo di solito un habitat diversificato dal punto di vista fisico, chimico e biologico.</w:t>
            </w:r>
          </w:p>
          <w:p w14:paraId="3E4464E9" w14:textId="77777777" w:rsidR="00864757" w:rsidRPr="00864757" w:rsidRDefault="00864757" w:rsidP="00525540">
            <w:pPr>
              <w:pStyle w:val="ListParagraph"/>
              <w:numPr>
                <w:ilvl w:val="0"/>
                <w:numId w:val="2"/>
              </w:numPr>
              <w:ind w:left="244" w:hanging="244"/>
              <w:jc w:val="both"/>
              <w:rPr>
                <w:rFonts w:ascii="Times New Roman" w:hAnsi="Times New Roman" w:cs="Times New Roman"/>
                <w:lang w:val="it-IT"/>
              </w:rPr>
            </w:pPr>
            <w:r w:rsidRPr="00E47091">
              <w:rPr>
                <w:rFonts w:ascii="Times New Roman" w:hAnsi="Times New Roman" w:cs="Times New Roman"/>
                <w:lang w:val="it"/>
              </w:rPr>
              <w:t>Filtraggio e protezione: il suolo agisce come un filtro per proteggere la qualità dell'acqua, dell'aria e di altre risorse. I composti tossici o i nutrienti in eccesso possono essere neutralizzati, trasformati o altrimenti resi indisponibili per piante e animali.</w:t>
            </w:r>
          </w:p>
          <w:p w14:paraId="60E00DFE" w14:textId="77777777" w:rsidR="00864757" w:rsidRPr="00864757" w:rsidRDefault="00864757" w:rsidP="00B22A51">
            <w:pPr>
              <w:pStyle w:val="ListParagraph"/>
              <w:numPr>
                <w:ilvl w:val="0"/>
                <w:numId w:val="2"/>
              </w:numPr>
              <w:ind w:left="282" w:hanging="282"/>
              <w:jc w:val="both"/>
              <w:rPr>
                <w:rFonts w:ascii="Times New Roman" w:hAnsi="Times New Roman" w:cs="Times New Roman"/>
                <w:lang w:val="it-IT"/>
              </w:rPr>
            </w:pPr>
            <w:r w:rsidRPr="00E47091">
              <w:rPr>
                <w:rFonts w:ascii="Times New Roman" w:hAnsi="Times New Roman" w:cs="Times New Roman"/>
                <w:lang w:val="it"/>
              </w:rPr>
              <w:t>Stabilità fisica e supporto: il suolo ha la capacità di mantenere la sua struttura porosa e di regolare il passaggio di aria, gas e acqua, di resistere alle forze erosive, di supportare carichi pesanti e di fornire un substrato per le radici delle piante.</w:t>
            </w:r>
          </w:p>
        </w:tc>
        <w:tc>
          <w:tcPr>
            <w:tcW w:w="616" w:type="dxa"/>
          </w:tcPr>
          <w:p w14:paraId="0E85B0D4"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7</w:t>
            </w:r>
          </w:p>
        </w:tc>
      </w:tr>
      <w:tr w:rsidR="00864757" w:rsidRPr="00E47091" w14:paraId="6F944C3B" w14:textId="77777777" w:rsidTr="2C6C7817">
        <w:tc>
          <w:tcPr>
            <w:tcW w:w="2062" w:type="dxa"/>
          </w:tcPr>
          <w:p w14:paraId="7E26B9A2" w14:textId="77777777" w:rsidR="00864757" w:rsidRPr="00E47091" w:rsidRDefault="00864757" w:rsidP="00A655ED">
            <w:pPr>
              <w:rPr>
                <w:rFonts w:ascii="Times New Roman" w:hAnsi="Times New Roman" w:cs="Times New Roman"/>
                <w:b/>
                <w:color w:val="BF4E14" w:themeColor="accent2" w:themeShade="BF"/>
                <w:lang w:val="en-GB"/>
              </w:rPr>
            </w:pPr>
            <w:r w:rsidRPr="00E47091">
              <w:rPr>
                <w:rFonts w:ascii="Times New Roman" w:hAnsi="Times New Roman" w:cs="Times New Roman"/>
                <w:b/>
                <w:color w:val="3A7C22" w:themeColor="accent6" w:themeShade="BF"/>
                <w:lang w:val="it"/>
              </w:rPr>
              <w:t>Genesi del suolo</w:t>
            </w:r>
          </w:p>
        </w:tc>
        <w:tc>
          <w:tcPr>
            <w:tcW w:w="1469" w:type="dxa"/>
          </w:tcPr>
          <w:p w14:paraId="2EAC6846" w14:textId="77777777" w:rsidR="00864757" w:rsidRPr="00E47091" w:rsidRDefault="00864757" w:rsidP="00A655ED">
            <w:pPr>
              <w:jc w:val="both"/>
              <w:rPr>
                <w:rFonts w:ascii="Times New Roman" w:hAnsi="Times New Roman" w:cs="Times New Roman"/>
                <w:lang w:val="en-GB"/>
              </w:rPr>
            </w:pPr>
          </w:p>
        </w:tc>
        <w:tc>
          <w:tcPr>
            <w:tcW w:w="5615" w:type="dxa"/>
          </w:tcPr>
          <w:p w14:paraId="272918FA"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 xml:space="preserve">Il processo di trasformazione dalla roccia madre al profilo del suolo. La formazione del suolo è determinata dai principali elementi dell'ambiente naturale, cioè materiali parentali, rilievo, clima, organismi viventi e tempo (Dokuchaev, 1883) con l'influenza dell'attività umana. Questi fattori di formazione del suolo agiscono insieme e la morfologia e le </w:t>
            </w:r>
            <w:r w:rsidRPr="00E47091">
              <w:rPr>
                <w:rFonts w:ascii="Times New Roman" w:hAnsi="Times New Roman" w:cs="Times New Roman"/>
                <w:lang w:val="it"/>
              </w:rPr>
              <w:lastRenderedPageBreak/>
              <w:t>proprietà dei singoli suoli dipendono dalla loro disposizione locale.</w:t>
            </w:r>
          </w:p>
        </w:tc>
        <w:tc>
          <w:tcPr>
            <w:tcW w:w="616" w:type="dxa"/>
          </w:tcPr>
          <w:p w14:paraId="6EAFF699"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15</w:t>
            </w:r>
          </w:p>
        </w:tc>
      </w:tr>
      <w:tr w:rsidR="00864757" w:rsidRPr="00E47091" w14:paraId="4BD25A14" w14:textId="77777777" w:rsidTr="2C6C7817">
        <w:tc>
          <w:tcPr>
            <w:tcW w:w="2062" w:type="dxa"/>
          </w:tcPr>
          <w:p w14:paraId="273D6EFE" w14:textId="77777777" w:rsidR="00864757" w:rsidRPr="00E47091" w:rsidRDefault="00864757" w:rsidP="002A67F8">
            <w:pPr>
              <w:rPr>
                <w:rFonts w:ascii="Times New Roman" w:hAnsi="Times New Roman" w:cs="Times New Roman"/>
                <w:b/>
                <w:color w:val="3A7C22" w:themeColor="accent6" w:themeShade="BF"/>
                <w:lang w:val="it-IT"/>
              </w:rPr>
            </w:pPr>
            <w:r w:rsidRPr="00E47091">
              <w:rPr>
                <w:rFonts w:ascii="Times New Roman" w:hAnsi="Times New Roman" w:cs="Times New Roman"/>
                <w:b/>
                <w:color w:val="3A7C22" w:themeColor="accent6" w:themeShade="BF"/>
                <w:lang w:val="it"/>
              </w:rPr>
              <w:t>Gestione del ciclo del carbonio</w:t>
            </w:r>
          </w:p>
        </w:tc>
        <w:tc>
          <w:tcPr>
            <w:tcW w:w="1469" w:type="dxa"/>
          </w:tcPr>
          <w:p w14:paraId="7AD7CDFA" w14:textId="77777777" w:rsidR="00864757" w:rsidRPr="00E47091" w:rsidRDefault="00864757" w:rsidP="002A67F8">
            <w:pPr>
              <w:jc w:val="both"/>
              <w:rPr>
                <w:rFonts w:ascii="Times New Roman" w:hAnsi="Times New Roman" w:cs="Times New Roman"/>
                <w:lang w:val="it-IT"/>
              </w:rPr>
            </w:pPr>
          </w:p>
        </w:tc>
        <w:tc>
          <w:tcPr>
            <w:tcW w:w="5615" w:type="dxa"/>
          </w:tcPr>
          <w:p w14:paraId="4405E981" w14:textId="77777777" w:rsidR="00864757" w:rsidRPr="00E47091" w:rsidRDefault="00864757" w:rsidP="006A5BAB">
            <w:pPr>
              <w:jc w:val="both"/>
              <w:rPr>
                <w:rFonts w:ascii="Times New Roman" w:hAnsi="Times New Roman" w:cs="Times New Roman"/>
                <w:lang w:val="it-IT"/>
              </w:rPr>
            </w:pPr>
            <w:r w:rsidRPr="00E47091" w:rsidDel="006A5BAB">
              <w:rPr>
                <w:rFonts w:ascii="Times New Roman" w:hAnsi="Times New Roman" w:cs="Times New Roman"/>
                <w:lang w:val="it"/>
              </w:rPr>
              <w:t xml:space="preserve"> Le pratiche e le strategie volte a mantenere o aumentare la quantità di carbonio immagazzinato nel suolo, principalmente sotto forma di materia organica. Questo processo è fondamentale per migliorare la salute del suolo, incrementare la produttività agricola e mitigare il cambiamento climatico sequestrando l'anidride carbonica atmosferica (CO₂). La gestione del carbonio nel suolo ne migliora la fertilità, la ritenzione idrica e la biodiversità e contribuisce alla mitigazione dei cambiamenti climatici catturando e immagazzinando CO₂. Svolge un ruolo fondamentale nell'agricoltura sostenibile e nella resilienza degli ecosistemi.</w:t>
            </w:r>
          </w:p>
          <w:p w14:paraId="31DBD31B" w14:textId="77777777" w:rsidR="00864757" w:rsidRPr="00E47091" w:rsidRDefault="00864757" w:rsidP="006A5BAB">
            <w:pPr>
              <w:jc w:val="both"/>
              <w:rPr>
                <w:rFonts w:ascii="Times New Roman" w:hAnsi="Times New Roman" w:cs="Times New Roman"/>
                <w:lang w:val="it-IT"/>
              </w:rPr>
            </w:pPr>
            <w:r w:rsidRPr="00E47091">
              <w:rPr>
                <w:rFonts w:ascii="Times New Roman" w:hAnsi="Times New Roman" w:cs="Times New Roman"/>
                <w:lang w:val="it"/>
              </w:rPr>
              <w:t>Le principali pratiche di gestione del carbonio nel suolo includono la lavorazione conservativa, la rotazione e la diversificazione delle colture, le colture di copertura, l'agroforestazione e il ripristino dei suoli degradati.</w:t>
            </w:r>
          </w:p>
        </w:tc>
        <w:tc>
          <w:tcPr>
            <w:tcW w:w="616" w:type="dxa"/>
          </w:tcPr>
          <w:p w14:paraId="593E7319"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2, 40</w:t>
            </w:r>
          </w:p>
        </w:tc>
      </w:tr>
      <w:tr w:rsidR="00864757" w:rsidRPr="00E47091" w14:paraId="66979A3E" w14:textId="77777777" w:rsidTr="2C6C7817">
        <w:tc>
          <w:tcPr>
            <w:tcW w:w="2062" w:type="dxa"/>
          </w:tcPr>
          <w:p w14:paraId="5FD67C7E"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Gestione funzionale del territorio</w:t>
            </w:r>
          </w:p>
        </w:tc>
        <w:tc>
          <w:tcPr>
            <w:tcW w:w="1469" w:type="dxa"/>
          </w:tcPr>
          <w:p w14:paraId="4272D5B3" w14:textId="77777777" w:rsidR="00864757" w:rsidRPr="00E47091" w:rsidRDefault="00864757" w:rsidP="00525540">
            <w:pPr>
              <w:jc w:val="both"/>
              <w:rPr>
                <w:rFonts w:ascii="Times New Roman" w:hAnsi="Times New Roman" w:cs="Times New Roman"/>
                <w:lang w:val="en-GB"/>
              </w:rPr>
            </w:pPr>
          </w:p>
        </w:tc>
        <w:tc>
          <w:tcPr>
            <w:tcW w:w="5615" w:type="dxa"/>
          </w:tcPr>
          <w:p w14:paraId="4A7D0B65"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Un quadro concettuale di riferimento per ottimizzare la fornitura di servizi ecosistemici basato su cinque funzioni chiave del suolo, a diverse scale spaziali, per soddisfare simultaneamente obiettivi di politica agronomica e ambientale.</w:t>
            </w:r>
          </w:p>
          <w:p w14:paraId="3A2AF397"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Maggiori informazioni: Concetto di funzioni del suolo </w:t>
            </w:r>
            <w:hyperlink r:id="rId17" w:history="1">
              <w:r w:rsidRPr="00E47091">
                <w:rPr>
                  <w:rStyle w:val="Hyperlink"/>
                  <w:rFonts w:ascii="Times New Roman" w:hAnsi="Times New Roman" w:cs="Times New Roman"/>
                  <w:lang w:val="it"/>
                </w:rPr>
                <w:t>http://landmarkproject.eu/soil-functions-concept/</w:t>
              </w:r>
            </w:hyperlink>
            <w:r w:rsidRPr="00E47091">
              <w:rPr>
                <w:rFonts w:ascii="Times New Roman" w:hAnsi="Times New Roman" w:cs="Times New Roman"/>
                <w:lang w:val="it"/>
              </w:rPr>
              <w:t>.</w:t>
            </w:r>
          </w:p>
        </w:tc>
        <w:tc>
          <w:tcPr>
            <w:tcW w:w="616" w:type="dxa"/>
          </w:tcPr>
          <w:p w14:paraId="1CCFAFCA"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5A982DB6" w14:textId="77777777" w:rsidTr="2C6C7817">
        <w:tc>
          <w:tcPr>
            <w:tcW w:w="2062" w:type="dxa"/>
          </w:tcPr>
          <w:p w14:paraId="61052FC3"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Humus</w:t>
            </w:r>
          </w:p>
        </w:tc>
        <w:tc>
          <w:tcPr>
            <w:tcW w:w="1469" w:type="dxa"/>
          </w:tcPr>
          <w:p w14:paraId="1F06339E" w14:textId="77777777" w:rsidR="00864757" w:rsidRPr="00E47091" w:rsidRDefault="00864757" w:rsidP="00525540">
            <w:pPr>
              <w:jc w:val="both"/>
              <w:rPr>
                <w:rFonts w:ascii="Times New Roman" w:hAnsi="Times New Roman" w:cs="Times New Roman"/>
                <w:lang w:val="en-GB"/>
              </w:rPr>
            </w:pPr>
          </w:p>
        </w:tc>
        <w:tc>
          <w:tcPr>
            <w:tcW w:w="5615" w:type="dxa"/>
          </w:tcPr>
          <w:p w14:paraId="4BF6FDD4"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Il componente </w:t>
            </w:r>
            <w:r w:rsidRPr="00E47091">
              <w:rPr>
                <w:lang w:val="it"/>
              </w:rPr>
              <w:t xml:space="preserve"> </w:t>
            </w:r>
            <w:r w:rsidRPr="00E47091">
              <w:rPr>
                <w:rFonts w:ascii="Times New Roman" w:hAnsi="Times New Roman" w:cs="Times New Roman"/>
                <w:lang w:val="it"/>
              </w:rPr>
              <w:t>organico, scuro e amorfo formato dalla decomposizione di residui vegetali e animali da parte di microrganismi del suolo nei terreni minerali, con peso specifico basso ed elevata area di superficie; solitamente costituito di molti composti organici ad alto peso molecolare. Termine spesso usato come sinonimo di materia organica del suolo. L'humus è un componente fondamentale dei terreni sani, importante per la fertilità del suolo, e aiuta a legare insieme le particelle e gli aggregati del suolo.</w:t>
            </w:r>
          </w:p>
        </w:tc>
        <w:tc>
          <w:tcPr>
            <w:tcW w:w="616" w:type="dxa"/>
          </w:tcPr>
          <w:p w14:paraId="5D748827"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2BD7E4A0" w14:textId="77777777" w:rsidTr="2C6C7817">
        <w:tc>
          <w:tcPr>
            <w:tcW w:w="2062" w:type="dxa"/>
          </w:tcPr>
          <w:p w14:paraId="1B1E8E63"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Immobilizzazione</w:t>
            </w:r>
          </w:p>
        </w:tc>
        <w:tc>
          <w:tcPr>
            <w:tcW w:w="1469" w:type="dxa"/>
          </w:tcPr>
          <w:p w14:paraId="7E493BAF" w14:textId="77777777" w:rsidR="00864757" w:rsidRPr="00E47091" w:rsidRDefault="00864757" w:rsidP="00525540">
            <w:pPr>
              <w:jc w:val="both"/>
              <w:rPr>
                <w:rFonts w:ascii="Times New Roman" w:hAnsi="Times New Roman" w:cs="Times New Roman"/>
                <w:lang w:val="en-GB"/>
              </w:rPr>
            </w:pPr>
          </w:p>
        </w:tc>
        <w:tc>
          <w:tcPr>
            <w:tcW w:w="5615" w:type="dxa"/>
          </w:tcPr>
          <w:p w14:paraId="5A83B2F7"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Conversione di elementi solubili in acqua in composti organici da parte del biota del suolo.</w:t>
            </w:r>
          </w:p>
          <w:p w14:paraId="09759A74"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Procedimento mediante il quale i nutrienti (azoto, fosforo e altri elementi essenziali) vengono temporaneamente convertiti da una forma inorganica disponibile e solubile in acqua in una forma organica non disponibile dai microrganismi del suolo. Questo avviene quando i microrganismi incorporano questi nutrienti nelle loro cellule e nei loro tessuti durante la decomposizione della materia organica, rendendoli temporaneamente inaccessibili alle piante.</w:t>
            </w:r>
          </w:p>
          <w:p w14:paraId="7FB31D1E"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In terreni inquinati l'immobilizzazione può anche fare in modo che alcuni elementi potenzialmente tossici diventino insolubili, il che è un fenomeno positivo perché riduce il rischio di diffusione dei contaminanti nell'ambiente e del loro possibile assorbimento da parte delle piante.</w:t>
            </w:r>
          </w:p>
        </w:tc>
        <w:tc>
          <w:tcPr>
            <w:tcW w:w="616" w:type="dxa"/>
          </w:tcPr>
          <w:p w14:paraId="157104F5"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 45</w:t>
            </w:r>
          </w:p>
        </w:tc>
      </w:tr>
      <w:tr w:rsidR="00864757" w:rsidRPr="00E47091" w14:paraId="1EF2AF35" w14:textId="77777777" w:rsidTr="2C6C7817">
        <w:tc>
          <w:tcPr>
            <w:tcW w:w="2062" w:type="dxa"/>
          </w:tcPr>
          <w:p w14:paraId="146A9BC1"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Infiltrazione</w:t>
            </w:r>
          </w:p>
        </w:tc>
        <w:tc>
          <w:tcPr>
            <w:tcW w:w="1469" w:type="dxa"/>
          </w:tcPr>
          <w:p w14:paraId="58E5F57B" w14:textId="77777777" w:rsidR="00864757" w:rsidRPr="00E47091" w:rsidRDefault="00864757" w:rsidP="00525540">
            <w:pPr>
              <w:jc w:val="both"/>
              <w:rPr>
                <w:rFonts w:ascii="Times New Roman" w:hAnsi="Times New Roman" w:cs="Times New Roman"/>
                <w:lang w:val="en-GB"/>
              </w:rPr>
            </w:pPr>
          </w:p>
        </w:tc>
        <w:tc>
          <w:tcPr>
            <w:tcW w:w="5615" w:type="dxa"/>
          </w:tcPr>
          <w:p w14:paraId="09075CA2"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Il movimento dell'acqua dalla superficie all’interno del suolo (in contrapposizione alla percolazione, che è il movimento dell'acqua attraverso il profilo del suolo (orizzonti) fino alle falde acquifere.</w:t>
            </w:r>
          </w:p>
        </w:tc>
        <w:tc>
          <w:tcPr>
            <w:tcW w:w="616" w:type="dxa"/>
          </w:tcPr>
          <w:p w14:paraId="7A796A5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54D6CECA" w14:textId="77777777" w:rsidTr="2C6C7817">
        <w:tc>
          <w:tcPr>
            <w:tcW w:w="2062" w:type="dxa"/>
          </w:tcPr>
          <w:p w14:paraId="5F383EEC"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Inquinante</w:t>
            </w:r>
          </w:p>
        </w:tc>
        <w:tc>
          <w:tcPr>
            <w:tcW w:w="1469" w:type="dxa"/>
          </w:tcPr>
          <w:p w14:paraId="0BD2C632" w14:textId="77777777" w:rsidR="00864757" w:rsidRPr="00E47091" w:rsidRDefault="00864757" w:rsidP="00525540">
            <w:pPr>
              <w:jc w:val="both"/>
              <w:rPr>
                <w:rFonts w:ascii="Times New Roman" w:hAnsi="Times New Roman" w:cs="Times New Roman"/>
                <w:lang w:val="en-GB"/>
              </w:rPr>
            </w:pPr>
          </w:p>
        </w:tc>
        <w:tc>
          <w:tcPr>
            <w:tcW w:w="5615" w:type="dxa"/>
          </w:tcPr>
          <w:p w14:paraId="300A1334"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Sostanza o composto presente nel suolo (o nelle acque sotterranee) che, a causa delle sue proprietà, quantità o </w:t>
            </w:r>
            <w:r w:rsidRPr="00E47091">
              <w:rPr>
                <w:rFonts w:ascii="Times New Roman" w:hAnsi="Times New Roman" w:cs="Times New Roman"/>
                <w:lang w:val="it"/>
              </w:rPr>
              <w:lastRenderedPageBreak/>
              <w:t>concentrazione, nuoce alla funzione del suolo e influisce negativamente sul biota del suolo e su altri bioti viventi.</w:t>
            </w:r>
          </w:p>
        </w:tc>
        <w:tc>
          <w:tcPr>
            <w:tcW w:w="616" w:type="dxa"/>
          </w:tcPr>
          <w:p w14:paraId="0D8F7DB9"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2</w:t>
            </w:r>
          </w:p>
        </w:tc>
      </w:tr>
      <w:tr w:rsidR="00864757" w:rsidRPr="00E47091" w14:paraId="545E40B3" w14:textId="77777777" w:rsidTr="2C6C7817">
        <w:tc>
          <w:tcPr>
            <w:tcW w:w="2062" w:type="dxa"/>
          </w:tcPr>
          <w:p w14:paraId="4FC7F825"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Intensificazione</w:t>
            </w:r>
          </w:p>
        </w:tc>
        <w:tc>
          <w:tcPr>
            <w:tcW w:w="1469" w:type="dxa"/>
          </w:tcPr>
          <w:p w14:paraId="45877856" w14:textId="77777777" w:rsidR="00864757" w:rsidRPr="00E47091" w:rsidRDefault="00864757" w:rsidP="00525540">
            <w:pPr>
              <w:jc w:val="both"/>
              <w:rPr>
                <w:rFonts w:ascii="Times New Roman" w:hAnsi="Times New Roman" w:cs="Times New Roman"/>
                <w:lang w:val="en-GB"/>
              </w:rPr>
            </w:pPr>
          </w:p>
        </w:tc>
        <w:tc>
          <w:tcPr>
            <w:tcW w:w="5615" w:type="dxa"/>
          </w:tcPr>
          <w:p w14:paraId="79204D5C" w14:textId="77777777" w:rsidR="00864757" w:rsidRPr="00E47091" w:rsidRDefault="00864757" w:rsidP="00525540">
            <w:pPr>
              <w:jc w:val="both"/>
              <w:rPr>
                <w:rFonts w:ascii="Times New Roman" w:hAnsi="Times New Roman" w:cs="Times New Roman"/>
                <w:lang w:val="en-GB"/>
              </w:rPr>
            </w:pPr>
            <w:r w:rsidRPr="00E47091">
              <w:rPr>
                <w:rFonts w:ascii="Times New Roman" w:hAnsi="Times New Roman" w:cs="Times New Roman"/>
                <w:lang w:val="it"/>
              </w:rPr>
              <w:t>Il processo di aumentare l'uso di input (manodopera, informazioni, energia, fertilizzanti, pesticidi, macchinari) in relazione alla superficie del terreno per aumentare la produzione agricola per unità di superficie. L'intensificazione può aumentare la pressione sull'ambiente se comporta un aumento indiscriminato nell'uso di input senza un relativo aumento dell'input gestionale. Un maggiore utilizzo di fertilizzanti e pesticidi, ad esempio, può aumentare il rischio di deflusso di nutrienti e pesticidi nelle acque superficiali e sotterranee (‘perdita per unità di superficie’). Tuttavia l’effetto reale dell’utilizzo di input sull’ambiente non dipende solo dalla quantità di input usati, ma anche da come vengono applicati e dalla misura in cui contribuiscono ad aumentare la produzione (‘perdita per unità di prodotto’). Pertanto l'intensificazione non porta necessariamente al degrado ambientale.</w:t>
            </w:r>
          </w:p>
        </w:tc>
        <w:tc>
          <w:tcPr>
            <w:tcW w:w="616" w:type="dxa"/>
          </w:tcPr>
          <w:p w14:paraId="6744C59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407052F5" w14:textId="77777777" w:rsidTr="2C6C7817">
        <w:tc>
          <w:tcPr>
            <w:tcW w:w="2062" w:type="dxa"/>
          </w:tcPr>
          <w:p w14:paraId="3EE4E7FF"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Letame</w:t>
            </w:r>
          </w:p>
        </w:tc>
        <w:tc>
          <w:tcPr>
            <w:tcW w:w="1469" w:type="dxa"/>
          </w:tcPr>
          <w:p w14:paraId="6EA4FAB9" w14:textId="77777777" w:rsidR="00864757" w:rsidRPr="00E47091" w:rsidRDefault="00864757" w:rsidP="00525540">
            <w:pPr>
              <w:jc w:val="both"/>
              <w:rPr>
                <w:rFonts w:ascii="Times New Roman" w:hAnsi="Times New Roman" w:cs="Times New Roman"/>
                <w:lang w:val="en-GB"/>
              </w:rPr>
            </w:pPr>
          </w:p>
        </w:tc>
        <w:tc>
          <w:tcPr>
            <w:tcW w:w="5615" w:type="dxa"/>
          </w:tcPr>
          <w:p w14:paraId="4A338A49"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Il letame è un tipo di fertilizzante composto da escrementi di bestiame, in quanto tali o incluse le lettiere.</w:t>
            </w:r>
          </w:p>
        </w:tc>
        <w:tc>
          <w:tcPr>
            <w:tcW w:w="616" w:type="dxa"/>
          </w:tcPr>
          <w:p w14:paraId="364CEEC2"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77C4E22B" w14:textId="77777777" w:rsidTr="2C6C7817">
        <w:tc>
          <w:tcPr>
            <w:tcW w:w="2062" w:type="dxa"/>
          </w:tcPr>
          <w:p w14:paraId="302B499C"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Liquame</w:t>
            </w:r>
          </w:p>
        </w:tc>
        <w:tc>
          <w:tcPr>
            <w:tcW w:w="1469" w:type="dxa"/>
          </w:tcPr>
          <w:p w14:paraId="07B3BFE4" w14:textId="77777777" w:rsidR="00864757" w:rsidRPr="00E47091" w:rsidRDefault="00864757" w:rsidP="00525540">
            <w:pPr>
              <w:jc w:val="both"/>
              <w:rPr>
                <w:rFonts w:ascii="Times New Roman" w:hAnsi="Times New Roman" w:cs="Times New Roman"/>
                <w:lang w:val="en-GB"/>
              </w:rPr>
            </w:pPr>
          </w:p>
        </w:tc>
        <w:tc>
          <w:tcPr>
            <w:tcW w:w="5615" w:type="dxa"/>
          </w:tcPr>
          <w:p w14:paraId="15D5359E"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Il liquame è una miscela di letame animale e acqua, spesso con aggiunta di materia organica, dalla consistenza semiliquida. Viene comunemente prodotto negli allevamento di bestiame, in particolare in stalle o ambienti confinati, come gli allevamenti di bovini da latte, suini e pollame. Il liquame viene solitamente raccolto dalle aree di stabulazione degli animali e conservato in cisterne, lagune o fosse prima di essere distribuito nei campi agricoli come fertilizzante ricco di sostanze nutritive.</w:t>
            </w:r>
          </w:p>
        </w:tc>
        <w:tc>
          <w:tcPr>
            <w:tcW w:w="616" w:type="dxa"/>
          </w:tcPr>
          <w:p w14:paraId="2F76B32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4, 42</w:t>
            </w:r>
          </w:p>
        </w:tc>
      </w:tr>
      <w:tr w:rsidR="00864757" w:rsidRPr="00E47091" w14:paraId="5B083ACC" w14:textId="77777777" w:rsidTr="2C6C7817">
        <w:tc>
          <w:tcPr>
            <w:tcW w:w="2062" w:type="dxa"/>
          </w:tcPr>
          <w:p w14:paraId="5725927E"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Metodologie coinvolgenti</w:t>
            </w:r>
          </w:p>
        </w:tc>
        <w:tc>
          <w:tcPr>
            <w:tcW w:w="1469" w:type="dxa"/>
          </w:tcPr>
          <w:p w14:paraId="5771C3D0" w14:textId="77777777" w:rsidR="00864757" w:rsidRPr="00E47091" w:rsidRDefault="00864757" w:rsidP="00A655ED">
            <w:pPr>
              <w:jc w:val="both"/>
              <w:rPr>
                <w:rFonts w:ascii="Times New Roman" w:hAnsi="Times New Roman" w:cs="Times New Roman"/>
                <w:lang w:val="en-GB"/>
              </w:rPr>
            </w:pPr>
          </w:p>
        </w:tc>
        <w:tc>
          <w:tcPr>
            <w:tcW w:w="5615" w:type="dxa"/>
          </w:tcPr>
          <w:p w14:paraId="4271ECD0"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Approcci innovativi che coinvolgono attivamente i partecipanti nel processo di apprendimento o nelle attività di comunicazione. Queste metodologie sono progettate per promuovere l'interazione, la collaborazione e il pensiero critico e migliorano l'efficacia delle iniziative educative e comunicative. Sono caratterizzate da interattività, pertinenza, meccanismo di feedback e uso della tecnologia.</w:t>
            </w:r>
          </w:p>
        </w:tc>
        <w:tc>
          <w:tcPr>
            <w:tcW w:w="616" w:type="dxa"/>
          </w:tcPr>
          <w:p w14:paraId="2796B0C5"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27</w:t>
            </w:r>
          </w:p>
        </w:tc>
      </w:tr>
      <w:tr w:rsidR="00864757" w:rsidRPr="00E47091" w14:paraId="5933F903" w14:textId="77777777" w:rsidTr="2C6C7817">
        <w:tc>
          <w:tcPr>
            <w:tcW w:w="2062" w:type="dxa"/>
          </w:tcPr>
          <w:p w14:paraId="65C49E04"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Micorrize</w:t>
            </w:r>
          </w:p>
        </w:tc>
        <w:tc>
          <w:tcPr>
            <w:tcW w:w="1469" w:type="dxa"/>
          </w:tcPr>
          <w:p w14:paraId="42EEED99" w14:textId="77777777" w:rsidR="00864757" w:rsidRPr="00E47091" w:rsidRDefault="00864757" w:rsidP="00525540">
            <w:pPr>
              <w:jc w:val="both"/>
              <w:rPr>
                <w:rFonts w:ascii="Times New Roman" w:hAnsi="Times New Roman" w:cs="Times New Roman"/>
                <w:lang w:val="en-GB"/>
              </w:rPr>
            </w:pPr>
          </w:p>
        </w:tc>
        <w:tc>
          <w:tcPr>
            <w:tcW w:w="5615" w:type="dxa"/>
          </w:tcPr>
          <w:p w14:paraId="631DE0DE"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Significa letteralmente "radice del fungo" e indica una relazione simbiotica (reciprocamente vantaggiosa) tra funghi e radici delle piante. Il fungo fornisce acqua e sostanze nutritive alle radici della pianta, mentre la pianta fornisce carboidrati. Le radici delle piante in genere non riescono a esplorare più dell'1% del volume del suolo, ma in associazione con i funghi micorrizici (che si attaccano alle pareti cellulari delle radici delle piante), possono esplorare circa il 20% del volume del suolo. Oltre l'80% delle piante presenta un'associazione micorrizica, ma le popolazioni di questi funghi vengono ridotte dalla lavorazione convenzionale del suolo e dall'elevato uso di fertilizzanti a base di azoto e fosforo.</w:t>
            </w:r>
          </w:p>
        </w:tc>
        <w:tc>
          <w:tcPr>
            <w:tcW w:w="616" w:type="dxa"/>
          </w:tcPr>
          <w:p w14:paraId="0C48A022"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7</w:t>
            </w:r>
          </w:p>
        </w:tc>
      </w:tr>
      <w:tr w:rsidR="00864757" w:rsidRPr="00E47091" w14:paraId="7802F7CD" w14:textId="77777777" w:rsidTr="2C6C7817">
        <w:tc>
          <w:tcPr>
            <w:tcW w:w="2062" w:type="dxa"/>
          </w:tcPr>
          <w:p w14:paraId="39E4DEED"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Mineralizzazione</w:t>
            </w:r>
          </w:p>
        </w:tc>
        <w:tc>
          <w:tcPr>
            <w:tcW w:w="1469" w:type="dxa"/>
          </w:tcPr>
          <w:p w14:paraId="1C490716" w14:textId="77777777" w:rsidR="00864757" w:rsidRPr="00E47091" w:rsidRDefault="00864757" w:rsidP="00525540">
            <w:pPr>
              <w:jc w:val="both"/>
              <w:rPr>
                <w:rFonts w:ascii="Times New Roman" w:hAnsi="Times New Roman" w:cs="Times New Roman"/>
                <w:lang w:val="en-GB"/>
              </w:rPr>
            </w:pPr>
          </w:p>
        </w:tc>
        <w:tc>
          <w:tcPr>
            <w:tcW w:w="5615" w:type="dxa"/>
          </w:tcPr>
          <w:p w14:paraId="38A19A6E"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degradazione degli elementi organici (N, P, S) da parte del biota del suolo in forme (inorganiche) disponibili per le piante.</w:t>
            </w:r>
          </w:p>
        </w:tc>
        <w:tc>
          <w:tcPr>
            <w:tcW w:w="616" w:type="dxa"/>
          </w:tcPr>
          <w:p w14:paraId="2AAE33B9"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4442C213" w14:textId="77777777" w:rsidTr="2C6C7817">
        <w:tc>
          <w:tcPr>
            <w:tcW w:w="2062" w:type="dxa"/>
          </w:tcPr>
          <w:p w14:paraId="24E96B23" w14:textId="77777777" w:rsidR="00864757" w:rsidRPr="00864757" w:rsidRDefault="00864757" w:rsidP="002A67F8">
            <w:pPr>
              <w:rPr>
                <w:rFonts w:ascii="Times New Roman" w:hAnsi="Times New Roman" w:cs="Times New Roman"/>
                <w:b/>
                <w:color w:val="3A7C22" w:themeColor="accent6" w:themeShade="BF"/>
                <w:lang w:val="it-IT"/>
              </w:rPr>
            </w:pPr>
            <w:r w:rsidRPr="00E47091">
              <w:rPr>
                <w:rFonts w:ascii="Times New Roman" w:hAnsi="Times New Roman" w:cs="Times New Roman"/>
                <w:b/>
                <w:color w:val="3A7C22" w:themeColor="accent6" w:themeShade="BF"/>
                <w:lang w:val="it"/>
              </w:rPr>
              <w:t>Monitorare la qualità del suolo</w:t>
            </w:r>
          </w:p>
        </w:tc>
        <w:tc>
          <w:tcPr>
            <w:tcW w:w="1469" w:type="dxa"/>
          </w:tcPr>
          <w:p w14:paraId="29BFD457" w14:textId="77777777" w:rsidR="00864757" w:rsidRPr="00864757" w:rsidRDefault="00864757" w:rsidP="00525540">
            <w:pPr>
              <w:jc w:val="both"/>
              <w:rPr>
                <w:rFonts w:ascii="Times New Roman" w:hAnsi="Times New Roman" w:cs="Times New Roman"/>
                <w:lang w:val="it-IT"/>
              </w:rPr>
            </w:pPr>
          </w:p>
        </w:tc>
        <w:tc>
          <w:tcPr>
            <w:tcW w:w="5615" w:type="dxa"/>
          </w:tcPr>
          <w:p w14:paraId="3F41D10B" w14:textId="77777777" w:rsidR="00864757" w:rsidRPr="00E47091" w:rsidRDefault="00864757" w:rsidP="00525540">
            <w:pPr>
              <w:jc w:val="both"/>
              <w:rPr>
                <w:rFonts w:ascii="Times New Roman" w:hAnsi="Times New Roman" w:cs="Times New Roman"/>
                <w:lang w:val="en-GB"/>
              </w:rPr>
            </w:pPr>
            <w:r w:rsidRPr="00E47091">
              <w:rPr>
                <w:rFonts w:ascii="Times New Roman" w:hAnsi="Times New Roman" w:cs="Times New Roman"/>
                <w:lang w:val="it"/>
              </w:rPr>
              <w:t xml:space="preserve">Monitoraggio delle tendenze negli indicatori quantitativi o nella capacità funzionale del suolo per determinare il successo delle pratiche di gestione o la necessità di cambiamenti nella </w:t>
            </w:r>
            <w:r w:rsidRPr="00E47091">
              <w:rPr>
                <w:rFonts w:ascii="Times New Roman" w:hAnsi="Times New Roman" w:cs="Times New Roman"/>
                <w:lang w:val="it"/>
              </w:rPr>
              <w:lastRenderedPageBreak/>
              <w:t>gestione. Il monitoraggio comporta la raccolta, l'analisi e l'interpretazione ordinate dei dati provenienti dagli stessi luoghi nel tempo. (Confrontare con la valutazione.)</w:t>
            </w:r>
          </w:p>
        </w:tc>
        <w:tc>
          <w:tcPr>
            <w:tcW w:w="616" w:type="dxa"/>
          </w:tcPr>
          <w:p w14:paraId="5AFD58C1"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3</w:t>
            </w:r>
          </w:p>
        </w:tc>
      </w:tr>
      <w:tr w:rsidR="00864757" w:rsidRPr="00E47091" w14:paraId="21E71D92" w14:textId="77777777" w:rsidTr="2C6C7817">
        <w:tc>
          <w:tcPr>
            <w:tcW w:w="2062" w:type="dxa"/>
          </w:tcPr>
          <w:p w14:paraId="501C2433" w14:textId="77777777" w:rsidR="00864757" w:rsidRPr="00E47091" w:rsidRDefault="00864757" w:rsidP="2C6C7817">
            <w:pPr>
              <w:rPr>
                <w:rFonts w:ascii="Times New Roman" w:hAnsi="Times New Roman" w:cs="Times New Roman"/>
                <w:b/>
                <w:bCs/>
                <w:color w:val="3A7C22" w:themeColor="accent6" w:themeShade="BF"/>
                <w:lang w:val="en-GB"/>
              </w:rPr>
            </w:pPr>
            <w:r w:rsidRPr="00E47091">
              <w:rPr>
                <w:rFonts w:ascii="Times New Roman" w:hAnsi="Times New Roman" w:cs="Times New Roman"/>
                <w:b/>
                <w:bCs/>
                <w:color w:val="3A7C22" w:themeColor="accent6" w:themeShade="BF"/>
                <w:lang w:val="it"/>
              </w:rPr>
              <w:t>Non lavorazione del suolo</w:t>
            </w:r>
          </w:p>
        </w:tc>
        <w:tc>
          <w:tcPr>
            <w:tcW w:w="1469" w:type="dxa"/>
          </w:tcPr>
          <w:p w14:paraId="62A59570" w14:textId="77777777" w:rsidR="00864757" w:rsidRPr="00E47091" w:rsidRDefault="00864757" w:rsidP="00525540">
            <w:pPr>
              <w:jc w:val="both"/>
              <w:rPr>
                <w:rFonts w:ascii="Times New Roman" w:hAnsi="Times New Roman" w:cs="Times New Roman"/>
                <w:lang w:val="en-GB"/>
              </w:rPr>
            </w:pPr>
          </w:p>
        </w:tc>
        <w:tc>
          <w:tcPr>
            <w:tcW w:w="5615" w:type="dxa"/>
          </w:tcPr>
          <w:p w14:paraId="0562CC86"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pratica agronomica chiave nell'agricoltura conservativa per le colture annuali. Si tratta di un metodo di coltivazione che evita di arrecare disturbo al suolo a causa della sua lavorazione. Nella non lavorazione del suolo, almeno il 30% della superficie dovrebbe essere coperta da residui vegetali subito dopo la semina della coltura. Il terreno viene seminato mediante macchinari in grado di posizionare i semi attraverso i residui vegetali delle colture precedenti.</w:t>
            </w:r>
          </w:p>
          <w:p w14:paraId="3A4CD432"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non lavorazione è la principale pratica agronomica che caratterizza l'agricoltura conservativa per le colture annuali e garantisce il massimo livello di conservazione del suolo. Ciò avviene poiché elimina la lavorazione meccanica del suolo. Inoltre, nei climi aridi, la non lavorazione aiuta a trattenere l'acqua nel terreno riducendo le perdite per evaporazione dalla superficie del suolo, che solitamente aumentano con la lavorazione convenzionale che comporta l’inversione del suolo.</w:t>
            </w:r>
          </w:p>
        </w:tc>
        <w:tc>
          <w:tcPr>
            <w:tcW w:w="616" w:type="dxa"/>
          </w:tcPr>
          <w:p w14:paraId="30755FC0"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4BCB3889" w14:textId="77777777" w:rsidTr="2C6C7817">
        <w:tc>
          <w:tcPr>
            <w:tcW w:w="2062" w:type="dxa"/>
          </w:tcPr>
          <w:p w14:paraId="3A663531" w14:textId="77777777" w:rsidR="00864757" w:rsidRPr="00E47091" w:rsidRDefault="00864757" w:rsidP="00A655ED">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Nuovi metodi di comunicazione</w:t>
            </w:r>
          </w:p>
          <w:p w14:paraId="7E1379C1" w14:textId="77777777" w:rsidR="00864757" w:rsidRPr="00E47091" w:rsidRDefault="00864757" w:rsidP="00A655ED">
            <w:pPr>
              <w:rPr>
                <w:rFonts w:ascii="Times New Roman" w:hAnsi="Times New Roman" w:cs="Times New Roman"/>
                <w:b/>
                <w:color w:val="D86DCB" w:themeColor="accent5" w:themeTint="99"/>
                <w:lang w:val="en-GB"/>
              </w:rPr>
            </w:pPr>
          </w:p>
        </w:tc>
        <w:tc>
          <w:tcPr>
            <w:tcW w:w="1469" w:type="dxa"/>
          </w:tcPr>
          <w:p w14:paraId="4C32E2F7" w14:textId="77777777" w:rsidR="00864757" w:rsidRPr="00E47091" w:rsidRDefault="00864757" w:rsidP="00A655ED">
            <w:pPr>
              <w:jc w:val="both"/>
              <w:rPr>
                <w:rFonts w:ascii="Times New Roman" w:hAnsi="Times New Roman" w:cs="Times New Roman"/>
                <w:lang w:val="en-GB"/>
              </w:rPr>
            </w:pPr>
          </w:p>
        </w:tc>
        <w:tc>
          <w:tcPr>
            <w:tcW w:w="5615" w:type="dxa"/>
          </w:tcPr>
          <w:p w14:paraId="5739EF54"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Strategie e tecnologie innovative che facilitano lo scambio di informazioni tra individui, organizzazioni e pubblico. Questi metodi comprendono una gamma di strumenti e piattaforme digitali che migliorano l'interazione, il coinvolgimento e l'accessibilità in vari contesti, in particolare nei settori dell'istruzione e della comunicazione pubblica.</w:t>
            </w:r>
          </w:p>
        </w:tc>
        <w:tc>
          <w:tcPr>
            <w:tcW w:w="616" w:type="dxa"/>
          </w:tcPr>
          <w:p w14:paraId="649F3BEF"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24,25, 26, 27</w:t>
            </w:r>
          </w:p>
        </w:tc>
      </w:tr>
      <w:tr w:rsidR="00864757" w:rsidRPr="00E47091" w14:paraId="4F5B3CEA" w14:textId="77777777" w:rsidTr="2C6C7817">
        <w:tc>
          <w:tcPr>
            <w:tcW w:w="2062" w:type="dxa"/>
          </w:tcPr>
          <w:p w14:paraId="4E44AB26"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Oligoelementi</w:t>
            </w:r>
          </w:p>
        </w:tc>
        <w:tc>
          <w:tcPr>
            <w:tcW w:w="1469" w:type="dxa"/>
          </w:tcPr>
          <w:p w14:paraId="3B66A04E" w14:textId="77777777" w:rsidR="00864757" w:rsidRPr="00E47091" w:rsidRDefault="00864757" w:rsidP="00A655ED">
            <w:pPr>
              <w:jc w:val="both"/>
              <w:rPr>
                <w:rFonts w:ascii="Times New Roman" w:hAnsi="Times New Roman" w:cs="Times New Roman"/>
                <w:lang w:val="en-GB"/>
              </w:rPr>
            </w:pPr>
          </w:p>
        </w:tc>
        <w:tc>
          <w:tcPr>
            <w:tcW w:w="5615" w:type="dxa"/>
          </w:tcPr>
          <w:p w14:paraId="6B209F75"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Si riferiscono a indicatori o resti che forniscono prova di eventi o condizioni precedenti. Possono includere segni fisici lasciati nell'ambiente, come campioni di suolo che ne indicano l'uso passato o tracce chimiche che rivelano informazioni sui livelli di inquinamento o sui cambiamenti ecologici. Si tratta di elementi presenti in quantità molto piccole in un dato ambiente, in genere inferiori a 100 parti per milione (ppm) o 100 mg/kg. Possono essere essenziali o tossici per gli organismi, a seconda della loro concentrazione. Elementi come l'arsenico (As), il cadmio (Cd) e il piombo (Pb) sono spesso studiati come oligoelementi a causa del loro potenziale impatto sull'ambiente e sulla salute.</w:t>
            </w:r>
          </w:p>
        </w:tc>
        <w:tc>
          <w:tcPr>
            <w:tcW w:w="616" w:type="dxa"/>
          </w:tcPr>
          <w:p w14:paraId="5D924483"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34</w:t>
            </w:r>
          </w:p>
        </w:tc>
      </w:tr>
      <w:tr w:rsidR="00864757" w:rsidRPr="00E47091" w14:paraId="4C8D1AE4" w14:textId="77777777" w:rsidTr="2C6C7817">
        <w:tc>
          <w:tcPr>
            <w:tcW w:w="2062" w:type="dxa"/>
          </w:tcPr>
          <w:p w14:paraId="7A3CC95A" w14:textId="77777777" w:rsidR="00864757" w:rsidRPr="00E47091" w:rsidRDefault="00864757" w:rsidP="00A655ED">
            <w:pPr>
              <w:rPr>
                <w:rFonts w:ascii="Times New Roman" w:hAnsi="Times New Roman" w:cs="Times New Roman"/>
                <w:b/>
                <w:color w:val="BF4E14" w:themeColor="accent2" w:themeShade="BF"/>
                <w:lang w:val="en-GB"/>
              </w:rPr>
            </w:pPr>
            <w:r w:rsidRPr="00E47091">
              <w:rPr>
                <w:rFonts w:ascii="Times New Roman" w:hAnsi="Times New Roman" w:cs="Times New Roman"/>
                <w:b/>
                <w:color w:val="3A7C22" w:themeColor="accent6" w:themeShade="BF"/>
                <w:lang w:val="it"/>
              </w:rPr>
              <w:t>Orizzonte del suolo</w:t>
            </w:r>
          </w:p>
        </w:tc>
        <w:tc>
          <w:tcPr>
            <w:tcW w:w="1469" w:type="dxa"/>
          </w:tcPr>
          <w:p w14:paraId="09057490" w14:textId="77777777" w:rsidR="00864757" w:rsidRPr="00E47091" w:rsidRDefault="00864757" w:rsidP="00A655ED">
            <w:pPr>
              <w:jc w:val="both"/>
              <w:rPr>
                <w:rFonts w:ascii="Times New Roman" w:hAnsi="Times New Roman" w:cs="Times New Roman"/>
                <w:lang w:val="en-GB"/>
              </w:rPr>
            </w:pPr>
          </w:p>
        </w:tc>
        <w:tc>
          <w:tcPr>
            <w:tcW w:w="5615" w:type="dxa"/>
          </w:tcPr>
          <w:p w14:paraId="31557D53"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Uno degli strati che si formano nel profilo del suolo a seguito dei processi di formazione del suolo. Un orizzonte può apparire come uno strato visibile e marcato, ma più comunemente i confini degli orizzonti sono meno percettibili. Negli orti e dove c'è stato molto movimento del suolo, questi strati possono essere persi o più difficili da osservare.</w:t>
            </w:r>
          </w:p>
        </w:tc>
        <w:tc>
          <w:tcPr>
            <w:tcW w:w="616" w:type="dxa"/>
          </w:tcPr>
          <w:p w14:paraId="37B597CB"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13</w:t>
            </w:r>
          </w:p>
        </w:tc>
      </w:tr>
      <w:tr w:rsidR="00864757" w:rsidRPr="00E47091" w14:paraId="1D896B0F" w14:textId="77777777" w:rsidTr="2C6C7817">
        <w:tc>
          <w:tcPr>
            <w:tcW w:w="2062" w:type="dxa"/>
          </w:tcPr>
          <w:p w14:paraId="5C4D75FE"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Ossidazione</w:t>
            </w:r>
          </w:p>
        </w:tc>
        <w:tc>
          <w:tcPr>
            <w:tcW w:w="1469" w:type="dxa"/>
          </w:tcPr>
          <w:p w14:paraId="22B470F5" w14:textId="77777777" w:rsidR="00864757" w:rsidRPr="00E47091" w:rsidRDefault="00864757" w:rsidP="00525540">
            <w:pPr>
              <w:jc w:val="both"/>
              <w:rPr>
                <w:rFonts w:ascii="Times New Roman" w:hAnsi="Times New Roman" w:cs="Times New Roman"/>
                <w:lang w:val="en-GB"/>
              </w:rPr>
            </w:pPr>
          </w:p>
        </w:tc>
        <w:tc>
          <w:tcPr>
            <w:tcW w:w="5615" w:type="dxa"/>
          </w:tcPr>
          <w:p w14:paraId="7F5E3F1E"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L'aggiunta di ossigeno, la rimozione di idrogeno o la rimozione di elettroni da un elemento o composto. Nell'ambiente la materia organica viene ossidata in sostanze più stabili. L'ossidazione è l'opposto della ‘riduzione’. L'ossidazione della materia organica è definita ‘combustione’ e quella del ferro ‘arrugginimento’.</w:t>
            </w:r>
          </w:p>
        </w:tc>
        <w:tc>
          <w:tcPr>
            <w:tcW w:w="616" w:type="dxa"/>
          </w:tcPr>
          <w:p w14:paraId="5DA8531D"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70ABE0DF" w14:textId="77777777" w:rsidTr="2C6C7817">
        <w:tc>
          <w:tcPr>
            <w:tcW w:w="2062" w:type="dxa"/>
          </w:tcPr>
          <w:p w14:paraId="3BDCEB07"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Pacciamatura</w:t>
            </w:r>
          </w:p>
        </w:tc>
        <w:tc>
          <w:tcPr>
            <w:tcW w:w="1469" w:type="dxa"/>
          </w:tcPr>
          <w:p w14:paraId="25313773" w14:textId="77777777" w:rsidR="00864757" w:rsidRPr="00E47091" w:rsidRDefault="00864757" w:rsidP="00525540">
            <w:pPr>
              <w:jc w:val="both"/>
              <w:rPr>
                <w:rFonts w:ascii="Times New Roman" w:hAnsi="Times New Roman" w:cs="Times New Roman"/>
                <w:lang w:val="en-GB"/>
              </w:rPr>
            </w:pPr>
          </w:p>
        </w:tc>
        <w:tc>
          <w:tcPr>
            <w:tcW w:w="5615" w:type="dxa"/>
          </w:tcPr>
          <w:p w14:paraId="6C28EA53"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Pratica agricola che prevede di coprire superficie del suolo, in genere con materiali organici o teli di plastica, per favorire la conservazione del terreno e dell'acqua, controllare le erbacce, tenere lontani i parassiti e mantenere condizioni favorevoli e stabili per la crescita delle piante.</w:t>
            </w:r>
          </w:p>
        </w:tc>
        <w:tc>
          <w:tcPr>
            <w:tcW w:w="616" w:type="dxa"/>
          </w:tcPr>
          <w:p w14:paraId="78B27127"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00788B38" w14:textId="77777777" w:rsidTr="2C6C7817">
        <w:tc>
          <w:tcPr>
            <w:tcW w:w="2062" w:type="dxa"/>
          </w:tcPr>
          <w:p w14:paraId="0CDEC706" w14:textId="77777777" w:rsidR="00864757" w:rsidRPr="00E47091" w:rsidRDefault="00864757" w:rsidP="00A655ED">
            <w:pPr>
              <w:rPr>
                <w:rFonts w:ascii="Times New Roman" w:hAnsi="Times New Roman" w:cs="Times New Roman"/>
                <w:b/>
                <w:color w:val="BF4E14" w:themeColor="accent2" w:themeShade="BF"/>
                <w:lang w:val="en-GB"/>
              </w:rPr>
            </w:pPr>
            <w:r w:rsidRPr="00E47091">
              <w:rPr>
                <w:rFonts w:ascii="Times New Roman" w:hAnsi="Times New Roman" w:cs="Times New Roman"/>
                <w:b/>
                <w:color w:val="3A7C22" w:themeColor="accent6" w:themeShade="BF"/>
                <w:lang w:val="it"/>
              </w:rPr>
              <w:lastRenderedPageBreak/>
              <w:t>Permacultura</w:t>
            </w:r>
          </w:p>
        </w:tc>
        <w:tc>
          <w:tcPr>
            <w:tcW w:w="1469" w:type="dxa"/>
          </w:tcPr>
          <w:p w14:paraId="5985D5F8" w14:textId="77777777" w:rsidR="00864757" w:rsidRPr="00E47091" w:rsidRDefault="00864757" w:rsidP="00A655ED">
            <w:pPr>
              <w:jc w:val="both"/>
              <w:rPr>
                <w:rFonts w:ascii="Times New Roman" w:hAnsi="Times New Roman" w:cs="Times New Roman"/>
                <w:lang w:val="en-GB"/>
              </w:rPr>
            </w:pPr>
          </w:p>
        </w:tc>
        <w:tc>
          <w:tcPr>
            <w:tcW w:w="5615" w:type="dxa"/>
          </w:tcPr>
          <w:p w14:paraId="7E6E6C0C"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 xml:space="preserve">La permacultura crea ecosistemi agricoli produttivi che imitano la diversità, la stabilità e la resilienza degli ecosistemi naturali. La permacultura mira a sviluppare un paesaggio che sarà autosufficiente e produttivo per generazioni. È un sistema agricolo rigenerativo che comprende una serie di pratiche agricole, un sistema di progettazione per selezionare, associare e organizzare queste pratiche e anche il sistema di coltivazione agroecologico risultante. Si può utilizzare su una scala che va dalle colture sui balconi a quelle su più ettari. </w:t>
            </w:r>
          </w:p>
        </w:tc>
        <w:tc>
          <w:tcPr>
            <w:tcW w:w="616" w:type="dxa"/>
          </w:tcPr>
          <w:p w14:paraId="6D340A35"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14</w:t>
            </w:r>
          </w:p>
        </w:tc>
      </w:tr>
      <w:tr w:rsidR="00864757" w:rsidRPr="00E47091" w14:paraId="51B4FA33" w14:textId="77777777" w:rsidTr="2C6C7817">
        <w:tc>
          <w:tcPr>
            <w:tcW w:w="2062" w:type="dxa"/>
          </w:tcPr>
          <w:p w14:paraId="2B818F7A" w14:textId="77777777" w:rsidR="00864757" w:rsidRPr="00864757" w:rsidRDefault="00864757" w:rsidP="00A655ED">
            <w:pPr>
              <w:rPr>
                <w:rFonts w:ascii="Times New Roman" w:hAnsi="Times New Roman" w:cs="Times New Roman"/>
                <w:b/>
                <w:color w:val="D86DCB" w:themeColor="accent5" w:themeTint="99"/>
                <w:lang w:val="it-IT"/>
              </w:rPr>
            </w:pPr>
            <w:r w:rsidRPr="00E47091">
              <w:rPr>
                <w:rFonts w:ascii="Times New Roman" w:hAnsi="Times New Roman" w:cs="Times New Roman"/>
                <w:b/>
                <w:color w:val="3A7C22" w:themeColor="accent6" w:themeShade="BF"/>
                <w:lang w:val="it"/>
              </w:rPr>
              <w:t>Piante che arricchiscono il suolo</w:t>
            </w:r>
          </w:p>
        </w:tc>
        <w:tc>
          <w:tcPr>
            <w:tcW w:w="1469" w:type="dxa"/>
          </w:tcPr>
          <w:p w14:paraId="246A14A3" w14:textId="77777777" w:rsidR="00864757" w:rsidRPr="00864757" w:rsidRDefault="00864757" w:rsidP="00A655ED">
            <w:pPr>
              <w:jc w:val="both"/>
              <w:rPr>
                <w:rFonts w:ascii="Times New Roman" w:hAnsi="Times New Roman" w:cs="Times New Roman"/>
                <w:lang w:val="it-IT"/>
              </w:rPr>
            </w:pPr>
          </w:p>
        </w:tc>
        <w:tc>
          <w:tcPr>
            <w:tcW w:w="5615" w:type="dxa"/>
          </w:tcPr>
          <w:p w14:paraId="14A683FA"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Piante che migliorano la fertilità e la salute del suolo attraverso vari meccanismi, come la fissazione dell'azoto o l'aggiunta di materia organica. Un esempio sono i legumi, noti per la loro capacità di arricchire la qualità del terreno fissando l'azoto. Questo processo aumenta in modo significativo la fertilità del suolo e favorisce la crescita delle colture successive; per questo motivo i legumi sono essenziali nei sistemi agricoli sostenibili. Anche la segale, l'avena, il grano saraceno e il sorgo-sudangrass svolgono il ruolo di piante che arricchiscono il suolo.</w:t>
            </w:r>
          </w:p>
        </w:tc>
        <w:tc>
          <w:tcPr>
            <w:tcW w:w="616" w:type="dxa"/>
          </w:tcPr>
          <w:p w14:paraId="5321C5FA"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17, 18</w:t>
            </w:r>
          </w:p>
        </w:tc>
      </w:tr>
      <w:tr w:rsidR="00864757" w:rsidRPr="00E47091" w14:paraId="4389FE01" w14:textId="77777777" w:rsidTr="2C6C7817">
        <w:tc>
          <w:tcPr>
            <w:tcW w:w="2062" w:type="dxa"/>
          </w:tcPr>
          <w:p w14:paraId="26EF47C0"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 xml:space="preserve">Protezione del suolo </w:t>
            </w:r>
          </w:p>
        </w:tc>
        <w:tc>
          <w:tcPr>
            <w:tcW w:w="1469" w:type="dxa"/>
          </w:tcPr>
          <w:p w14:paraId="44A066B1" w14:textId="77777777" w:rsidR="00864757" w:rsidRPr="00E47091" w:rsidRDefault="00864757" w:rsidP="00525540">
            <w:pPr>
              <w:jc w:val="both"/>
              <w:rPr>
                <w:rFonts w:ascii="Times New Roman" w:hAnsi="Times New Roman" w:cs="Times New Roman"/>
                <w:lang w:val="en-GB"/>
              </w:rPr>
            </w:pPr>
          </w:p>
        </w:tc>
        <w:tc>
          <w:tcPr>
            <w:tcW w:w="5615" w:type="dxa"/>
          </w:tcPr>
          <w:p w14:paraId="58907B40"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Un processo consapevole necessario per preservare il suolo e le sue proprietà, realizzato a diversi livelli (personale, locale, nazionale, continentale) e utilizzando le informazioni derivate dalla ricerca sul suolo per promuoverne una gestione sostenibile.</w:t>
            </w:r>
          </w:p>
        </w:tc>
        <w:tc>
          <w:tcPr>
            <w:tcW w:w="616" w:type="dxa"/>
          </w:tcPr>
          <w:p w14:paraId="39D5361E"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557D87E7" w14:textId="77777777" w:rsidTr="2C6C7817">
        <w:tc>
          <w:tcPr>
            <w:tcW w:w="2062" w:type="dxa"/>
          </w:tcPr>
          <w:p w14:paraId="1FE255CA"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Residuo</w:t>
            </w:r>
          </w:p>
        </w:tc>
        <w:tc>
          <w:tcPr>
            <w:tcW w:w="1469" w:type="dxa"/>
          </w:tcPr>
          <w:p w14:paraId="4901EFAA" w14:textId="77777777" w:rsidR="00864757" w:rsidRPr="00E47091" w:rsidRDefault="00864757" w:rsidP="00525540">
            <w:pPr>
              <w:jc w:val="both"/>
              <w:rPr>
                <w:rFonts w:ascii="Times New Roman" w:hAnsi="Times New Roman" w:cs="Times New Roman"/>
                <w:lang w:val="en-GB"/>
              </w:rPr>
            </w:pPr>
          </w:p>
        </w:tc>
        <w:tc>
          <w:tcPr>
            <w:tcW w:w="5615" w:type="dxa"/>
          </w:tcPr>
          <w:p w14:paraId="6A5418F5"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Qualsiasi materiale organico generato durante la produzione, la lavorazione o il consumo di colture, che va dalle radici, alle stoppie, alla paglia e alle foglie fino ai ‘rifiuti’ industriali e urbani.</w:t>
            </w:r>
          </w:p>
        </w:tc>
        <w:tc>
          <w:tcPr>
            <w:tcW w:w="616" w:type="dxa"/>
          </w:tcPr>
          <w:p w14:paraId="374E64CB"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7B1B9EF3" w14:textId="77777777" w:rsidTr="2C6C7817">
        <w:tc>
          <w:tcPr>
            <w:tcW w:w="2062" w:type="dxa"/>
          </w:tcPr>
          <w:p w14:paraId="4BD37FAF"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Resilienza</w:t>
            </w:r>
          </w:p>
        </w:tc>
        <w:tc>
          <w:tcPr>
            <w:tcW w:w="1469" w:type="dxa"/>
          </w:tcPr>
          <w:p w14:paraId="0BD64374" w14:textId="77777777" w:rsidR="00864757" w:rsidRPr="00E47091" w:rsidRDefault="00864757" w:rsidP="00525540">
            <w:pPr>
              <w:jc w:val="both"/>
              <w:rPr>
                <w:rFonts w:ascii="Times New Roman" w:hAnsi="Times New Roman" w:cs="Times New Roman"/>
                <w:lang w:val="en-GB"/>
              </w:rPr>
            </w:pPr>
          </w:p>
        </w:tc>
        <w:tc>
          <w:tcPr>
            <w:tcW w:w="5615" w:type="dxa"/>
          </w:tcPr>
          <w:p w14:paraId="35E67BAE"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capacità di un sistema e dei suoi componenti non solo di anticipare e assorbire gli effetti di un evento pericoloso, ma anche di adattarsi o riprendersi in modo tempestivo ed efficiente, garantendo persino la conservazione, il ripristino o il miglioramento della sua struttura e funzione di base essenziali.</w:t>
            </w:r>
          </w:p>
        </w:tc>
        <w:tc>
          <w:tcPr>
            <w:tcW w:w="616" w:type="dxa"/>
          </w:tcPr>
          <w:p w14:paraId="66238113"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5F3D5801" w14:textId="77777777" w:rsidTr="2C6C7817">
        <w:tc>
          <w:tcPr>
            <w:tcW w:w="2062" w:type="dxa"/>
          </w:tcPr>
          <w:p w14:paraId="6DADC371"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Resistenza</w:t>
            </w:r>
          </w:p>
        </w:tc>
        <w:tc>
          <w:tcPr>
            <w:tcW w:w="1469" w:type="dxa"/>
          </w:tcPr>
          <w:p w14:paraId="3E2FA6EF" w14:textId="77777777" w:rsidR="00864757" w:rsidRPr="00E47091" w:rsidRDefault="00864757" w:rsidP="00525540">
            <w:pPr>
              <w:jc w:val="both"/>
              <w:rPr>
                <w:rFonts w:ascii="Times New Roman" w:hAnsi="Times New Roman" w:cs="Times New Roman"/>
                <w:lang w:val="en-GB"/>
              </w:rPr>
            </w:pPr>
          </w:p>
        </w:tc>
        <w:tc>
          <w:tcPr>
            <w:tcW w:w="5615" w:type="dxa"/>
          </w:tcPr>
          <w:p w14:paraId="4523F36B"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capacità di un ecosistema di resistere a uno stress o a una perturbazione senza che la sua struttura o funzione subisca modifiche negative, mantenendo così uno stato di equilibrio.</w:t>
            </w:r>
          </w:p>
        </w:tc>
        <w:tc>
          <w:tcPr>
            <w:tcW w:w="616" w:type="dxa"/>
          </w:tcPr>
          <w:p w14:paraId="0F3E2C7C"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2856C0BC" w14:textId="77777777" w:rsidTr="2C6C7817">
        <w:tc>
          <w:tcPr>
            <w:tcW w:w="2062" w:type="dxa"/>
          </w:tcPr>
          <w:p w14:paraId="4F65F8BA"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Riduzione</w:t>
            </w:r>
          </w:p>
        </w:tc>
        <w:tc>
          <w:tcPr>
            <w:tcW w:w="1469" w:type="dxa"/>
          </w:tcPr>
          <w:p w14:paraId="1603D3A9" w14:textId="77777777" w:rsidR="00864757" w:rsidRPr="00E47091" w:rsidRDefault="00864757" w:rsidP="00525540">
            <w:pPr>
              <w:jc w:val="both"/>
              <w:rPr>
                <w:rFonts w:ascii="Times New Roman" w:hAnsi="Times New Roman" w:cs="Times New Roman"/>
                <w:lang w:val="en-GB"/>
              </w:rPr>
            </w:pPr>
          </w:p>
        </w:tc>
        <w:tc>
          <w:tcPr>
            <w:tcW w:w="5615" w:type="dxa"/>
          </w:tcPr>
          <w:p w14:paraId="2BDBB6F0" w14:textId="77777777" w:rsidR="00864757" w:rsidRPr="00E47091" w:rsidRDefault="00864757" w:rsidP="00525540">
            <w:pPr>
              <w:jc w:val="both"/>
              <w:rPr>
                <w:rFonts w:ascii="Times New Roman" w:hAnsi="Times New Roman" w:cs="Times New Roman"/>
                <w:lang w:val="en-GB"/>
              </w:rPr>
            </w:pPr>
            <w:r w:rsidRPr="00E47091">
              <w:rPr>
                <w:rFonts w:ascii="Times New Roman" w:hAnsi="Times New Roman" w:cs="Times New Roman"/>
                <w:lang w:val="it"/>
              </w:rPr>
              <w:t>L'aggiunta di idrogeno, la rimozione di ossigeno o l’aggiunta di elettroni a un elemento o composto. In condizioni anaerobiche-redox (dove non è presente ossigeno disciolto) come in suoli ‘gley’, i composti dello zolfo vengono ridotti a solfuro di idrogeno che produce odore (H</w:t>
            </w:r>
            <w:r w:rsidRPr="00E47091">
              <w:rPr>
                <w:rFonts w:ascii="Times New Roman" w:hAnsi="Times New Roman" w:cs="Times New Roman"/>
                <w:vertAlign w:val="subscript"/>
                <w:lang w:val="it"/>
              </w:rPr>
              <w:t>2</w:t>
            </w:r>
            <w:r w:rsidRPr="00E47091">
              <w:rPr>
                <w:rFonts w:ascii="Times New Roman" w:hAnsi="Times New Roman" w:cs="Times New Roman"/>
                <w:lang w:val="it"/>
              </w:rPr>
              <w:t>S) e ad altri composti. La riduzione è l’opposto dell’ossidazione.</w:t>
            </w:r>
          </w:p>
        </w:tc>
        <w:tc>
          <w:tcPr>
            <w:tcW w:w="616" w:type="dxa"/>
          </w:tcPr>
          <w:p w14:paraId="2705E609"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5E85FD65" w14:textId="77777777" w:rsidTr="2C6C7817">
        <w:tc>
          <w:tcPr>
            <w:tcW w:w="2062" w:type="dxa"/>
          </w:tcPr>
          <w:p w14:paraId="232CC17E"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Salinizzazione</w:t>
            </w:r>
          </w:p>
        </w:tc>
        <w:tc>
          <w:tcPr>
            <w:tcW w:w="1469" w:type="dxa"/>
          </w:tcPr>
          <w:p w14:paraId="0707C669" w14:textId="77777777" w:rsidR="00864757" w:rsidRPr="00E47091" w:rsidRDefault="00864757" w:rsidP="00525540">
            <w:pPr>
              <w:jc w:val="both"/>
              <w:rPr>
                <w:rFonts w:ascii="Times New Roman" w:hAnsi="Times New Roman" w:cs="Times New Roman"/>
                <w:lang w:val="en-GB"/>
              </w:rPr>
            </w:pPr>
          </w:p>
        </w:tc>
        <w:tc>
          <w:tcPr>
            <w:tcW w:w="5615" w:type="dxa"/>
          </w:tcPr>
          <w:p w14:paraId="50535022" w14:textId="77777777" w:rsidR="00864757" w:rsidRPr="00864757" w:rsidRDefault="00864757" w:rsidP="00525540">
            <w:pPr>
              <w:jc w:val="both"/>
              <w:rPr>
                <w:rFonts w:ascii="Times New Roman" w:hAnsi="Times New Roman" w:cs="Times New Roman"/>
                <w:lang w:val="it-IT"/>
              </w:rPr>
            </w:pPr>
            <w:bookmarkStart w:id="2" w:name="_Hlk187700189"/>
            <w:r w:rsidRPr="00E47091">
              <w:rPr>
                <w:rFonts w:ascii="Times New Roman" w:hAnsi="Times New Roman" w:cs="Times New Roman"/>
                <w:lang w:val="it"/>
              </w:rPr>
              <w:t>Accumulo di sali solubili (più solubili del gesso) negli strati superiori del terreno (terreno salino = terreno contenente abbastanza sali solubili da influenzare negativamente la maggior parte delle piante coltivate, comunemente 4000 μS m</w:t>
            </w:r>
            <w:r w:rsidRPr="00E47091">
              <w:rPr>
                <w:rFonts w:ascii="Times New Roman" w:hAnsi="Times New Roman" w:cs="Times New Roman"/>
                <w:vertAlign w:val="superscript"/>
                <w:lang w:val="it"/>
              </w:rPr>
              <w:t>-1</w:t>
            </w:r>
            <w:r w:rsidRPr="00E47091">
              <w:rPr>
                <w:rFonts w:ascii="Times New Roman" w:hAnsi="Times New Roman" w:cs="Times New Roman"/>
                <w:lang w:val="it"/>
              </w:rPr>
              <w:t>).</w:t>
            </w:r>
            <w:bookmarkEnd w:id="2"/>
          </w:p>
        </w:tc>
        <w:tc>
          <w:tcPr>
            <w:tcW w:w="616" w:type="dxa"/>
          </w:tcPr>
          <w:p w14:paraId="273605B7"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2A2561CB" w14:textId="77777777" w:rsidTr="2C6C7817">
        <w:tc>
          <w:tcPr>
            <w:tcW w:w="2062" w:type="dxa"/>
          </w:tcPr>
          <w:p w14:paraId="5556E335" w14:textId="77777777" w:rsidR="00864757" w:rsidRPr="00E47091" w:rsidRDefault="00864757" w:rsidP="00A655ED">
            <w:pPr>
              <w:rPr>
                <w:rFonts w:ascii="Times New Roman" w:hAnsi="Times New Roman" w:cs="Times New Roman"/>
                <w:lang w:val="en-GB"/>
              </w:rPr>
            </w:pPr>
            <w:r w:rsidRPr="00E47091">
              <w:rPr>
                <w:rFonts w:ascii="Times New Roman" w:hAnsi="Times New Roman" w:cs="Times New Roman"/>
                <w:b/>
                <w:color w:val="3A7C22" w:themeColor="accent6" w:themeShade="BF"/>
                <w:lang w:val="it"/>
              </w:rPr>
              <w:t>Salute del suolo</w:t>
            </w:r>
          </w:p>
        </w:tc>
        <w:tc>
          <w:tcPr>
            <w:tcW w:w="1469" w:type="dxa"/>
          </w:tcPr>
          <w:p w14:paraId="01574817" w14:textId="77777777" w:rsidR="00864757" w:rsidRPr="00E47091" w:rsidRDefault="00864757" w:rsidP="00525540">
            <w:pPr>
              <w:jc w:val="both"/>
              <w:rPr>
                <w:rFonts w:ascii="Times New Roman" w:hAnsi="Times New Roman" w:cs="Times New Roman"/>
                <w:lang w:val="en-GB"/>
              </w:rPr>
            </w:pPr>
          </w:p>
        </w:tc>
        <w:tc>
          <w:tcPr>
            <w:tcW w:w="5615" w:type="dxa"/>
          </w:tcPr>
          <w:p w14:paraId="0C755A0C"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Il suolo è la base del 95% del nostro cibo. Se il suolo è sano, fornisce servizi ecosistemici essenziali, come acqua pulita e habitat per la biodiversità. È un’importante riserva di carbonio che contribuisce a rallentare l'insorgenza del cambiamento climatico, rendendoci al contempo più resilienti a eventi climatici estremi. Il suolo è parte fondamentale dei paesaggi che noi tutti ammiriamo e è la base della nostra economia e </w:t>
            </w:r>
            <w:r w:rsidRPr="00E47091">
              <w:rPr>
                <w:rFonts w:ascii="Times New Roman" w:hAnsi="Times New Roman" w:cs="Times New Roman"/>
                <w:lang w:val="it"/>
              </w:rPr>
              <w:lastRenderedPageBreak/>
              <w:t>prosperità. Un suolo sano significa capacità continuativa di funzionare come un sistema vivente vitale.</w:t>
            </w:r>
          </w:p>
        </w:tc>
        <w:tc>
          <w:tcPr>
            <w:tcW w:w="616" w:type="dxa"/>
          </w:tcPr>
          <w:p w14:paraId="0D0C40FA"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1,46</w:t>
            </w:r>
          </w:p>
        </w:tc>
      </w:tr>
      <w:tr w:rsidR="00864757" w:rsidRPr="00E47091" w14:paraId="0586984E" w14:textId="77777777" w:rsidTr="2C6C7817">
        <w:tc>
          <w:tcPr>
            <w:tcW w:w="2062" w:type="dxa"/>
          </w:tcPr>
          <w:p w14:paraId="772575F5"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Salute della terra</w:t>
            </w:r>
          </w:p>
        </w:tc>
        <w:tc>
          <w:tcPr>
            <w:tcW w:w="1469" w:type="dxa"/>
          </w:tcPr>
          <w:p w14:paraId="732B2BF4" w14:textId="77777777" w:rsidR="00864757" w:rsidRPr="00E47091" w:rsidRDefault="00864757" w:rsidP="00525540">
            <w:pPr>
              <w:jc w:val="both"/>
              <w:rPr>
                <w:rFonts w:ascii="Times New Roman" w:hAnsi="Times New Roman" w:cs="Times New Roman"/>
                <w:lang w:val="en-GB"/>
              </w:rPr>
            </w:pPr>
          </w:p>
        </w:tc>
        <w:tc>
          <w:tcPr>
            <w:tcW w:w="5615" w:type="dxa"/>
          </w:tcPr>
          <w:p w14:paraId="5A42201B"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capacità della terra, in relazione al suo potenziale, di sostenere la fornitura di servizi ecosistemici.</w:t>
            </w:r>
          </w:p>
        </w:tc>
        <w:tc>
          <w:tcPr>
            <w:tcW w:w="616" w:type="dxa"/>
          </w:tcPr>
          <w:p w14:paraId="35D69E60"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1A5AA86E" w14:textId="77777777" w:rsidTr="2C6C7817">
        <w:tc>
          <w:tcPr>
            <w:tcW w:w="2062" w:type="dxa"/>
          </w:tcPr>
          <w:p w14:paraId="178D8A22" w14:textId="77777777" w:rsidR="00864757" w:rsidRPr="00E47091" w:rsidRDefault="00864757" w:rsidP="00A655ED">
            <w:pPr>
              <w:rPr>
                <w:rFonts w:ascii="Times New Roman" w:hAnsi="Times New Roman" w:cs="Times New Roman"/>
                <w:b/>
                <w:color w:val="BF4E14" w:themeColor="accent2" w:themeShade="BF"/>
                <w:lang w:val="en-GB"/>
              </w:rPr>
            </w:pPr>
            <w:r w:rsidRPr="00E47091">
              <w:rPr>
                <w:rFonts w:ascii="Times New Roman" w:hAnsi="Times New Roman" w:cs="Times New Roman"/>
                <w:b/>
                <w:color w:val="3A7C22" w:themeColor="accent6" w:themeShade="BF"/>
                <w:lang w:val="it"/>
              </w:rPr>
              <w:t>Salute planetaria</w:t>
            </w:r>
          </w:p>
        </w:tc>
        <w:tc>
          <w:tcPr>
            <w:tcW w:w="1469" w:type="dxa"/>
          </w:tcPr>
          <w:p w14:paraId="2BF8EAC2" w14:textId="77777777" w:rsidR="00864757" w:rsidRPr="00E47091" w:rsidRDefault="00864757" w:rsidP="00A655ED">
            <w:pPr>
              <w:jc w:val="both"/>
              <w:rPr>
                <w:rFonts w:ascii="Times New Roman" w:hAnsi="Times New Roman" w:cs="Times New Roman"/>
                <w:lang w:val="en-GB"/>
              </w:rPr>
            </w:pPr>
          </w:p>
        </w:tc>
        <w:tc>
          <w:tcPr>
            <w:tcW w:w="5615" w:type="dxa"/>
          </w:tcPr>
          <w:p w14:paraId="0752D4FE"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Per salvaguardare la salute del pianeta, il suolo contribuisce a molteplici processi critici, per es. regolando attraverso la produzione di biomassa la riserva di carbonio, fornendo un habitat al 25% della biodiversità globale, concorrendo al ciclo dei nutrienti da cui dipendono i sistemi terrestri e al ciclo dell'acqua. Il degrado del suolo danneggia direttamente la salute del pianeta e riduce la capacità del suolo di sostenere la salute delle generazioni umane future.</w:t>
            </w:r>
          </w:p>
        </w:tc>
        <w:tc>
          <w:tcPr>
            <w:tcW w:w="616" w:type="dxa"/>
          </w:tcPr>
          <w:p w14:paraId="0FC1D6D0"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12</w:t>
            </w:r>
          </w:p>
        </w:tc>
      </w:tr>
      <w:tr w:rsidR="00864757" w:rsidRPr="00E47091" w14:paraId="1216690C" w14:textId="77777777" w:rsidTr="2C6C7817">
        <w:tc>
          <w:tcPr>
            <w:tcW w:w="2062" w:type="dxa"/>
          </w:tcPr>
          <w:p w14:paraId="22FC46A6"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Saturazione basica</w:t>
            </w:r>
          </w:p>
        </w:tc>
        <w:tc>
          <w:tcPr>
            <w:tcW w:w="1469" w:type="dxa"/>
          </w:tcPr>
          <w:p w14:paraId="432F1B1B" w14:textId="77777777" w:rsidR="00864757" w:rsidRPr="00E47091" w:rsidRDefault="00864757" w:rsidP="002A67F8">
            <w:pPr>
              <w:tabs>
                <w:tab w:val="left" w:pos="262"/>
              </w:tabs>
              <w:jc w:val="both"/>
              <w:rPr>
                <w:rFonts w:ascii="Times New Roman" w:hAnsi="Times New Roman" w:cs="Times New Roman"/>
                <w:lang w:val="en-GB"/>
              </w:rPr>
            </w:pPr>
          </w:p>
        </w:tc>
        <w:tc>
          <w:tcPr>
            <w:tcW w:w="5615" w:type="dxa"/>
          </w:tcPr>
          <w:p w14:paraId="012FBB9F" w14:textId="77777777" w:rsidR="00864757" w:rsidRPr="00E47091" w:rsidRDefault="00864757" w:rsidP="002A67F8">
            <w:pPr>
              <w:tabs>
                <w:tab w:val="left" w:pos="262"/>
              </w:tabs>
              <w:jc w:val="both"/>
              <w:rPr>
                <w:rFonts w:ascii="Times New Roman" w:hAnsi="Times New Roman" w:cs="Times New Roman"/>
                <w:lang w:val="it-IT"/>
              </w:rPr>
            </w:pPr>
            <w:r w:rsidRPr="00E47091">
              <w:rPr>
                <w:rFonts w:ascii="Times New Roman" w:hAnsi="Times New Roman" w:cs="Times New Roman"/>
                <w:lang w:val="it"/>
              </w:rPr>
              <w:t>Il grado in cui un suolo con proprietà di scambio cationico è saturo di basi scambiabili (somma di Ca, Mg, Na, K), espresso come percentuale della capacità totale di scambio cationico.</w:t>
            </w:r>
          </w:p>
        </w:tc>
        <w:tc>
          <w:tcPr>
            <w:tcW w:w="616" w:type="dxa"/>
          </w:tcPr>
          <w:p w14:paraId="1F3D69F4"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54756A29" w14:textId="77777777" w:rsidTr="2C6C7817">
        <w:tc>
          <w:tcPr>
            <w:tcW w:w="2062" w:type="dxa"/>
          </w:tcPr>
          <w:p w14:paraId="00C8A135" w14:textId="77777777" w:rsidR="00864757" w:rsidRPr="00864757" w:rsidRDefault="00864757" w:rsidP="002A67F8">
            <w:pPr>
              <w:rPr>
                <w:rFonts w:ascii="Times New Roman" w:hAnsi="Times New Roman" w:cs="Times New Roman"/>
                <w:b/>
                <w:color w:val="D86DCB" w:themeColor="accent5" w:themeTint="99"/>
                <w:lang w:val="it-IT"/>
              </w:rPr>
            </w:pPr>
            <w:r w:rsidRPr="00E47091">
              <w:rPr>
                <w:rFonts w:ascii="Times New Roman" w:hAnsi="Times New Roman" w:cs="Times New Roman"/>
                <w:b/>
                <w:color w:val="3A7C22" w:themeColor="accent6" w:themeShade="BF"/>
                <w:lang w:val="it"/>
              </w:rPr>
              <w:t>Sequestro del carbonio nel suolo</w:t>
            </w:r>
          </w:p>
        </w:tc>
        <w:tc>
          <w:tcPr>
            <w:tcW w:w="1469" w:type="dxa"/>
          </w:tcPr>
          <w:p w14:paraId="2BDD0DB0" w14:textId="77777777" w:rsidR="00864757" w:rsidRPr="00864757" w:rsidRDefault="00864757" w:rsidP="00525540">
            <w:pPr>
              <w:jc w:val="both"/>
              <w:rPr>
                <w:rFonts w:ascii="Times New Roman" w:hAnsi="Times New Roman" w:cs="Times New Roman"/>
                <w:lang w:val="it-IT"/>
              </w:rPr>
            </w:pPr>
          </w:p>
        </w:tc>
        <w:tc>
          <w:tcPr>
            <w:tcW w:w="5615" w:type="dxa"/>
          </w:tcPr>
          <w:p w14:paraId="5A62E733"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La capacità di un suolo di immagazzinare carbonio in forma non labile con l'obiettivo di ridurre la concentrazione di CO</w:t>
            </w:r>
            <w:r w:rsidRPr="00E47091">
              <w:rPr>
                <w:rFonts w:ascii="Times New Roman" w:hAnsi="Times New Roman" w:cs="Times New Roman"/>
                <w:vertAlign w:val="subscript"/>
                <w:lang w:val="it"/>
              </w:rPr>
              <w:t>2</w:t>
            </w:r>
            <w:r w:rsidRPr="00E47091">
              <w:rPr>
                <w:rFonts w:ascii="Times New Roman" w:hAnsi="Times New Roman" w:cs="Times New Roman"/>
                <w:lang w:val="it"/>
              </w:rPr>
              <w:t xml:space="preserve"> nell’atmosfera.</w:t>
            </w:r>
          </w:p>
        </w:tc>
        <w:tc>
          <w:tcPr>
            <w:tcW w:w="616" w:type="dxa"/>
          </w:tcPr>
          <w:p w14:paraId="1F4C7D73"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068FEA0B" w14:textId="77777777" w:rsidTr="2C6C7817">
        <w:tc>
          <w:tcPr>
            <w:tcW w:w="2062" w:type="dxa"/>
          </w:tcPr>
          <w:p w14:paraId="37768861"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Servizi ecosistemici</w:t>
            </w:r>
          </w:p>
        </w:tc>
        <w:tc>
          <w:tcPr>
            <w:tcW w:w="1469" w:type="dxa"/>
          </w:tcPr>
          <w:p w14:paraId="595AB0C7" w14:textId="77777777" w:rsidR="00864757" w:rsidRPr="00E47091" w:rsidRDefault="00864757" w:rsidP="002A67F8">
            <w:pPr>
              <w:jc w:val="both"/>
              <w:rPr>
                <w:rFonts w:ascii="Times New Roman" w:hAnsi="Times New Roman" w:cs="Times New Roman"/>
                <w:lang w:val="en-GB"/>
              </w:rPr>
            </w:pPr>
          </w:p>
        </w:tc>
        <w:tc>
          <w:tcPr>
            <w:tcW w:w="5615" w:type="dxa"/>
          </w:tcPr>
          <w:p w14:paraId="073C9D56" w14:textId="77777777" w:rsidR="00864757" w:rsidRPr="00E47091" w:rsidRDefault="00864757" w:rsidP="002A67F8">
            <w:pPr>
              <w:jc w:val="both"/>
              <w:rPr>
                <w:rFonts w:ascii="Times New Roman" w:hAnsi="Times New Roman" w:cs="Times New Roman"/>
                <w:lang w:val="en-GB"/>
              </w:rPr>
            </w:pPr>
            <w:r w:rsidRPr="00E47091">
              <w:rPr>
                <w:rFonts w:ascii="Times New Roman" w:hAnsi="Times New Roman" w:cs="Times New Roman"/>
                <w:lang w:val="it"/>
              </w:rPr>
              <w:t>I contributi degli ecosistemi ai benefici ottenuti nell'economia e in altre attività umane. I servizi ecosistemici possono essere raggruppati in quattro categorie:</w:t>
            </w:r>
          </w:p>
          <w:p w14:paraId="3B6C93F4" w14:textId="77777777" w:rsidR="00864757" w:rsidRPr="00E47091" w:rsidRDefault="00864757" w:rsidP="00373999">
            <w:pPr>
              <w:pStyle w:val="ListParagraph"/>
              <w:numPr>
                <w:ilvl w:val="0"/>
                <w:numId w:val="4"/>
              </w:numPr>
              <w:ind w:left="360"/>
              <w:jc w:val="both"/>
              <w:rPr>
                <w:rFonts w:ascii="Times New Roman" w:hAnsi="Times New Roman" w:cs="Times New Roman"/>
                <w:lang w:val="it-IT"/>
              </w:rPr>
            </w:pPr>
            <w:r w:rsidRPr="00E47091">
              <w:rPr>
                <w:rFonts w:ascii="Times New Roman" w:hAnsi="Times New Roman" w:cs="Times New Roman"/>
                <w:lang w:val="it"/>
              </w:rPr>
              <w:t xml:space="preserve">Servizi di approvvigionamento, che rappresentano i contributi materiali ed energetici generati da o in un ecosistema (ad esempio, piante con proprietà farmaceutiche). </w:t>
            </w:r>
          </w:p>
          <w:p w14:paraId="4F74DBD2" w14:textId="77777777" w:rsidR="00864757" w:rsidRPr="00E47091" w:rsidRDefault="00864757" w:rsidP="00CB5EC8">
            <w:pPr>
              <w:pStyle w:val="ListParagraph"/>
              <w:numPr>
                <w:ilvl w:val="0"/>
                <w:numId w:val="4"/>
              </w:numPr>
              <w:ind w:left="360"/>
              <w:jc w:val="both"/>
              <w:rPr>
                <w:rFonts w:ascii="Times New Roman" w:hAnsi="Times New Roman" w:cs="Times New Roman"/>
                <w:lang w:val="it-IT"/>
              </w:rPr>
            </w:pPr>
            <w:r w:rsidRPr="00E47091">
              <w:rPr>
                <w:rFonts w:ascii="Times New Roman" w:hAnsi="Times New Roman" w:cs="Times New Roman"/>
                <w:lang w:val="it"/>
              </w:rPr>
              <w:t xml:space="preserve">Servizi di regolazione, che derivano dalla capacità degli ecosistemi di regolare il clima, i cicli idrologici e biochimici, i processi della superficie terrestre e una varietà di processi biologici. </w:t>
            </w:r>
          </w:p>
          <w:p w14:paraId="5121DB82" w14:textId="77777777" w:rsidR="00864757" w:rsidRPr="00E47091" w:rsidRDefault="00864757" w:rsidP="00CB5EC8">
            <w:pPr>
              <w:pStyle w:val="ListParagraph"/>
              <w:numPr>
                <w:ilvl w:val="0"/>
                <w:numId w:val="4"/>
              </w:numPr>
              <w:ind w:left="360"/>
              <w:jc w:val="both"/>
              <w:rPr>
                <w:rFonts w:ascii="Times New Roman" w:hAnsi="Times New Roman" w:cs="Times New Roman"/>
                <w:lang w:val="it-IT"/>
              </w:rPr>
            </w:pPr>
            <w:r w:rsidRPr="00E47091">
              <w:rPr>
                <w:rFonts w:ascii="Times New Roman" w:hAnsi="Times New Roman" w:cs="Times New Roman"/>
                <w:lang w:val="it"/>
              </w:rPr>
              <w:t>Servizi culturali, che sono generati da contesti, situazioni o luoghi fisici che danno origine a benefici intellettuali e simbolici che le persone traggono dagli ecosistemi attraverso attività ricreative e di relax, sviluppo della conoscenza e riflessione spirituale.</w:t>
            </w:r>
          </w:p>
          <w:p w14:paraId="1AEEEA5D" w14:textId="77777777" w:rsidR="00864757" w:rsidRPr="00E47091" w:rsidRDefault="00864757" w:rsidP="00373999">
            <w:pPr>
              <w:pStyle w:val="ListParagraph"/>
              <w:numPr>
                <w:ilvl w:val="0"/>
                <w:numId w:val="4"/>
              </w:numPr>
              <w:ind w:left="360"/>
              <w:jc w:val="both"/>
              <w:rPr>
                <w:rFonts w:ascii="Times New Roman" w:hAnsi="Times New Roman" w:cs="Times New Roman"/>
                <w:lang w:val="it-IT"/>
              </w:rPr>
            </w:pPr>
            <w:r w:rsidRPr="00E47091">
              <w:rPr>
                <w:rFonts w:ascii="Times New Roman" w:hAnsi="Times New Roman" w:cs="Times New Roman"/>
                <w:lang w:val="it"/>
              </w:rPr>
              <w:t>I servizi di supporto sono i processi naturali fondamentali che mantengono le condizioni per la vita sulla Terra e consentono la fornitura di tutti gli altri servizi ecosistemici (servizi di approvvigionamento, di regolazione e culturali). Questi servizi includono formazione del suolo, ciclo dei nutrienti, produzione primaria, ciclo dell'acqua e fornitura di habitat.</w:t>
            </w:r>
          </w:p>
        </w:tc>
        <w:tc>
          <w:tcPr>
            <w:tcW w:w="616" w:type="dxa"/>
          </w:tcPr>
          <w:p w14:paraId="5AA1A6FC"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1, 43</w:t>
            </w:r>
          </w:p>
        </w:tc>
      </w:tr>
      <w:tr w:rsidR="00864757" w:rsidRPr="00E47091" w14:paraId="2A8EDF58" w14:textId="77777777" w:rsidTr="2C6C7817">
        <w:tc>
          <w:tcPr>
            <w:tcW w:w="2062" w:type="dxa"/>
          </w:tcPr>
          <w:p w14:paraId="5A1248F7"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Servizi ecosistemici del suolo</w:t>
            </w:r>
          </w:p>
        </w:tc>
        <w:tc>
          <w:tcPr>
            <w:tcW w:w="1469" w:type="dxa"/>
          </w:tcPr>
          <w:p w14:paraId="0A860293" w14:textId="77777777" w:rsidR="00864757" w:rsidRPr="00E47091" w:rsidRDefault="00864757" w:rsidP="00525540">
            <w:pPr>
              <w:jc w:val="both"/>
              <w:rPr>
                <w:rFonts w:ascii="Times New Roman" w:hAnsi="Times New Roman" w:cs="Times New Roman"/>
                <w:lang w:val="en-GB"/>
              </w:rPr>
            </w:pPr>
          </w:p>
        </w:tc>
        <w:tc>
          <w:tcPr>
            <w:tcW w:w="5615" w:type="dxa"/>
          </w:tcPr>
          <w:p w14:paraId="521D88E2"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Un sottoinsieme dei servizi ecosistemici relativi al suolo, controllati in modo diretto e quantificabile o forniti dai suoli e dalle loro proprietà, funzioni e processi chimici, fisici e biologici.</w:t>
            </w:r>
          </w:p>
        </w:tc>
        <w:tc>
          <w:tcPr>
            <w:tcW w:w="616" w:type="dxa"/>
          </w:tcPr>
          <w:p w14:paraId="52192AE1"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w:t>
            </w:r>
          </w:p>
        </w:tc>
      </w:tr>
      <w:tr w:rsidR="00864757" w:rsidRPr="00E47091" w14:paraId="25DE9507" w14:textId="77777777" w:rsidTr="2C6C7817">
        <w:tc>
          <w:tcPr>
            <w:tcW w:w="2062" w:type="dxa"/>
          </w:tcPr>
          <w:p w14:paraId="461AF222"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Sistema vivente</w:t>
            </w:r>
          </w:p>
        </w:tc>
        <w:tc>
          <w:tcPr>
            <w:tcW w:w="1469" w:type="dxa"/>
          </w:tcPr>
          <w:p w14:paraId="12C7E0EA" w14:textId="77777777" w:rsidR="00864757" w:rsidRPr="00E47091" w:rsidRDefault="00864757" w:rsidP="00A655ED">
            <w:pPr>
              <w:jc w:val="both"/>
              <w:rPr>
                <w:rFonts w:ascii="Times New Roman" w:hAnsi="Times New Roman" w:cs="Times New Roman"/>
                <w:lang w:val="en-GB"/>
              </w:rPr>
            </w:pPr>
          </w:p>
        </w:tc>
        <w:tc>
          <w:tcPr>
            <w:tcW w:w="5615" w:type="dxa"/>
          </w:tcPr>
          <w:p w14:paraId="190C2D54"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Nel contesto delle scienze ambientali si riferisce a qualsiasi entità o comunità biologica che interagisce con il suo ambiente e mostra le caratteristiche della vita. Ciò include non solo i singoli organismi, ma anche le popolazioni, le comunità, gli ecosistemi e la biosfera nel suo complesso. Esempi di sistemi viventi sono gli ecosistemi, le comunità microbiche o le reti alimentari.</w:t>
            </w:r>
          </w:p>
          <w:p w14:paraId="0333AB76"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Comprendere i sistemi viventi è essenziale per sviluppare pratiche e politiche ambientali sostenibili mirate a preservare la biodiversità e la salute degli ecosistemi.</w:t>
            </w:r>
          </w:p>
          <w:p w14:paraId="70458D54" w14:textId="77777777" w:rsidR="00864757" w:rsidRPr="00864757" w:rsidRDefault="00864757" w:rsidP="00A655ED">
            <w:pPr>
              <w:jc w:val="both"/>
              <w:rPr>
                <w:rFonts w:ascii="Times New Roman" w:hAnsi="Times New Roman" w:cs="Times New Roman"/>
                <w:lang w:val="it-IT"/>
              </w:rPr>
            </w:pPr>
          </w:p>
          <w:p w14:paraId="374BC9F4"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 xml:space="preserve">Caratterizzazioni dei sistemi viventi: </w:t>
            </w:r>
          </w:p>
          <w:p w14:paraId="718F588D"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Interconnessione</w:t>
            </w:r>
            <w:r w:rsidRPr="00E47091">
              <w:rPr>
                <w:rFonts w:ascii="Times New Roman" w:hAnsi="Times New Roman" w:cs="Times New Roman"/>
                <w:lang w:val="it"/>
              </w:rPr>
              <w:t>: I sistemi viventi sono caratterizzati da interazioni complesse tra i vari componenti, inclusi gli organismi (piante, animali, microrganismi) e il loro ambiente fisico (suolo, acqua, aria). Queste interazioni possono influenzare il ciclo dei nutrienti, il flusso di energia e la salute generale dell'ecosistema.</w:t>
            </w:r>
          </w:p>
          <w:p w14:paraId="2344FAEE"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Adattabilità ed evoluzione</w:t>
            </w:r>
            <w:r w:rsidRPr="00E47091">
              <w:rPr>
                <w:rFonts w:ascii="Times New Roman" w:hAnsi="Times New Roman" w:cs="Times New Roman"/>
                <w:lang w:val="it"/>
              </w:rPr>
              <w:t>: I sistemi viventi si adattano ai cambiamenti ambientali nel corso del tempo attraverso processi evolutivi. Questa adattabilità è fondamentale per la sopravvivenza in climi ed ecosistemi in evoluzione.</w:t>
            </w:r>
          </w:p>
          <w:p w14:paraId="285B50E8"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Sostenibilità</w:t>
            </w:r>
            <w:r w:rsidRPr="00E47091">
              <w:rPr>
                <w:rFonts w:ascii="Times New Roman" w:hAnsi="Times New Roman" w:cs="Times New Roman"/>
                <w:lang w:val="it"/>
              </w:rPr>
              <w:t>: Nell'ambito delle scienze ambientali per i sistemi viventi è fondamentale la sostenibilità, ovvero la capacità di mantenere l'equilibrio ecologico e sostenere la vita nel lungo termine. Ciò include pratiche che promuovono la biodiversità e la resilienza allo stress ambientale.</w:t>
            </w:r>
          </w:p>
          <w:p w14:paraId="523BA2F5"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Servizi ecosistemici</w:t>
            </w:r>
            <w:r w:rsidRPr="00E47091">
              <w:rPr>
                <w:rFonts w:ascii="Times New Roman" w:hAnsi="Times New Roman" w:cs="Times New Roman"/>
                <w:lang w:val="it"/>
              </w:rPr>
              <w:t>: I sistemi viventi forniscono servizi essenziali come l'impollinazione, la depurazione dell'acqua, il sequestro del carbonio e la fertilità del suolo. Comprendere questi servizi è fondamentale per gestire le risorse naturali e affrontare le sfide ambientali.</w:t>
            </w:r>
          </w:p>
          <w:p w14:paraId="54E76034"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Impatto umano</w:t>
            </w:r>
            <w:r w:rsidRPr="00E47091">
              <w:rPr>
                <w:rFonts w:ascii="Times New Roman" w:hAnsi="Times New Roman" w:cs="Times New Roman"/>
                <w:lang w:val="it"/>
              </w:rPr>
              <w:t>: Le attività umane influenzano significativamente i sistemi viventi tramite l'inquinamento, la distruzione dell'habitat, il cambiamento climatico e lo sfruttamento delle risorse. Le scienze ambientali cercano di comprendere questi impatti e di sviluppare strategie di mitigazione e risanamento.</w:t>
            </w:r>
          </w:p>
          <w:p w14:paraId="4B628481" w14:textId="77777777" w:rsidR="00864757" w:rsidRPr="00864757" w:rsidRDefault="00864757" w:rsidP="00A655ED">
            <w:pPr>
              <w:jc w:val="both"/>
              <w:rPr>
                <w:rFonts w:ascii="Times New Roman" w:hAnsi="Times New Roman" w:cs="Times New Roman"/>
                <w:lang w:val="it-IT"/>
              </w:rPr>
            </w:pPr>
          </w:p>
        </w:tc>
        <w:tc>
          <w:tcPr>
            <w:tcW w:w="616" w:type="dxa"/>
          </w:tcPr>
          <w:p w14:paraId="1D822BFF"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19, 20</w:t>
            </w:r>
          </w:p>
        </w:tc>
      </w:tr>
      <w:tr w:rsidR="00864757" w:rsidRPr="00E47091" w14:paraId="5F4BBEFA" w14:textId="77777777" w:rsidTr="2C6C7817">
        <w:tc>
          <w:tcPr>
            <w:tcW w:w="2062" w:type="dxa"/>
          </w:tcPr>
          <w:p w14:paraId="6707FAA4"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Suolo</w:t>
            </w:r>
          </w:p>
        </w:tc>
        <w:tc>
          <w:tcPr>
            <w:tcW w:w="1469" w:type="dxa"/>
          </w:tcPr>
          <w:p w14:paraId="38276242" w14:textId="77777777" w:rsidR="00864757" w:rsidRPr="00E47091" w:rsidRDefault="00864757" w:rsidP="00525540">
            <w:pPr>
              <w:jc w:val="both"/>
              <w:rPr>
                <w:rFonts w:ascii="Times New Roman" w:hAnsi="Times New Roman" w:cs="Times New Roman"/>
                <w:lang w:val="en-GB"/>
              </w:rPr>
            </w:pPr>
          </w:p>
        </w:tc>
        <w:tc>
          <w:tcPr>
            <w:tcW w:w="5615" w:type="dxa"/>
          </w:tcPr>
          <w:p w14:paraId="59F16168"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Il mezzo poroso biologicamente attivo che si è sviluppato nello strato più superficiale della crosta terrestre e che costituisce uno dei principali substrati della vita sulla Terra. Il suolo è un sistema complesso, dinamico e vivente che si forma nel tempo attraverso l'interazione di processi fisici, chimici e biologici. È composto da particelle minerali di diverse dimensioni, materia organica, acqua e aria, che interagiscono tra loro per formare una matrice che supporta la crescita delle piante e fornisce un habitat per gli organismi del suolo.</w:t>
            </w:r>
          </w:p>
        </w:tc>
        <w:tc>
          <w:tcPr>
            <w:tcW w:w="616" w:type="dxa"/>
          </w:tcPr>
          <w:p w14:paraId="1C32AE0C"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w:t>
            </w:r>
          </w:p>
        </w:tc>
      </w:tr>
      <w:tr w:rsidR="00864757" w:rsidRPr="00E47091" w14:paraId="0C75A079" w14:textId="77777777" w:rsidTr="2C6C7817">
        <w:tc>
          <w:tcPr>
            <w:tcW w:w="2062" w:type="dxa"/>
          </w:tcPr>
          <w:p w14:paraId="77EA54A2"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Superficie arabile</w:t>
            </w:r>
          </w:p>
        </w:tc>
        <w:tc>
          <w:tcPr>
            <w:tcW w:w="1469" w:type="dxa"/>
          </w:tcPr>
          <w:p w14:paraId="73BDC68E" w14:textId="77777777" w:rsidR="00864757" w:rsidRPr="00E47091" w:rsidRDefault="00864757" w:rsidP="002A67F8">
            <w:pPr>
              <w:jc w:val="both"/>
              <w:rPr>
                <w:rFonts w:ascii="Times New Roman" w:hAnsi="Times New Roman" w:cs="Times New Roman"/>
                <w:lang w:val="en-GB"/>
              </w:rPr>
            </w:pPr>
          </w:p>
        </w:tc>
        <w:tc>
          <w:tcPr>
            <w:tcW w:w="5615" w:type="dxa"/>
          </w:tcPr>
          <w:p w14:paraId="52773197"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Si tratta di terreni lavorati (arati o dissodati) regolarmente, generalmente secondo un sistema di rotazione delle colture. Superficie totale destinata a colture, prati e pascoli e disponibile per la produzione agricola ma temporaneamente lasciata a riposo.</w:t>
            </w:r>
          </w:p>
        </w:tc>
        <w:tc>
          <w:tcPr>
            <w:tcW w:w="616" w:type="dxa"/>
          </w:tcPr>
          <w:p w14:paraId="41B65F5F"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1</w:t>
            </w:r>
          </w:p>
        </w:tc>
      </w:tr>
      <w:tr w:rsidR="00864757" w:rsidRPr="00E47091" w14:paraId="35F7D970" w14:textId="77777777" w:rsidTr="2C6C7817">
        <w:tc>
          <w:tcPr>
            <w:tcW w:w="2062" w:type="dxa"/>
          </w:tcPr>
          <w:p w14:paraId="1799F716"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Terreni a riposo</w:t>
            </w:r>
          </w:p>
        </w:tc>
        <w:tc>
          <w:tcPr>
            <w:tcW w:w="1469" w:type="dxa"/>
          </w:tcPr>
          <w:p w14:paraId="08A8B228" w14:textId="77777777" w:rsidR="00864757" w:rsidRPr="00E47091" w:rsidRDefault="00864757" w:rsidP="002A67F8">
            <w:pPr>
              <w:jc w:val="both"/>
              <w:rPr>
                <w:rFonts w:ascii="Times New Roman" w:hAnsi="Times New Roman" w:cs="Times New Roman"/>
                <w:lang w:val="en-GB"/>
              </w:rPr>
            </w:pPr>
          </w:p>
        </w:tc>
        <w:tc>
          <w:tcPr>
            <w:tcW w:w="5615" w:type="dxa"/>
          </w:tcPr>
          <w:p w14:paraId="4AC74D9F" w14:textId="77777777" w:rsidR="00864757" w:rsidRPr="00864757" w:rsidRDefault="00864757" w:rsidP="002A67F8">
            <w:pPr>
              <w:jc w:val="both"/>
              <w:rPr>
                <w:rFonts w:ascii="Times New Roman" w:hAnsi="Times New Roman" w:cs="Times New Roman"/>
                <w:lang w:val="it-IT"/>
              </w:rPr>
            </w:pPr>
            <w:r w:rsidRPr="00E47091">
              <w:rPr>
                <w:rFonts w:ascii="Times New Roman" w:hAnsi="Times New Roman" w:cs="Times New Roman"/>
                <w:lang w:val="it"/>
              </w:rPr>
              <w:t>Terreni coltivati lasciati incolti per ripristinare la produttività attraverso l'accumulo di umidità o di materia organica. Il maggese estivo è comune nelle regioni con precipitazioni limitate dove si coltivano cereali. Il suolo viene lavorato per almeno una stagione vegetativa per il controllo delle erbacce e la decomposizione dei residui vegetali.</w:t>
            </w:r>
          </w:p>
        </w:tc>
        <w:tc>
          <w:tcPr>
            <w:tcW w:w="616" w:type="dxa"/>
          </w:tcPr>
          <w:p w14:paraId="5AF9A33A"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0B158D82" w14:textId="77777777" w:rsidTr="2C6C7817">
        <w:tc>
          <w:tcPr>
            <w:tcW w:w="2062" w:type="dxa"/>
          </w:tcPr>
          <w:p w14:paraId="005D70B6"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Tipo di suolo</w:t>
            </w:r>
          </w:p>
        </w:tc>
        <w:tc>
          <w:tcPr>
            <w:tcW w:w="1469" w:type="dxa"/>
          </w:tcPr>
          <w:p w14:paraId="1BB9B37C" w14:textId="77777777" w:rsidR="00864757" w:rsidRPr="00E47091" w:rsidRDefault="00864757" w:rsidP="00A655ED">
            <w:pPr>
              <w:jc w:val="both"/>
              <w:rPr>
                <w:rFonts w:ascii="Times New Roman" w:hAnsi="Times New Roman" w:cs="Times New Roman"/>
                <w:lang w:val="en-GB"/>
              </w:rPr>
            </w:pPr>
          </w:p>
        </w:tc>
        <w:tc>
          <w:tcPr>
            <w:tcW w:w="5615" w:type="dxa"/>
          </w:tcPr>
          <w:p w14:paraId="3E276CD2"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 xml:space="preserve">Il tipo di suolo è un'unità concettuale e altamente generalizzata utilizzata nella scienza del suolo in molti sistemi di classificazione. Il tipo di suolo è definito principalmente in base alle caratteristiche derivanti dai processi di formazione del suolo (pedogenesi). I suoli che presentano una certa </w:t>
            </w:r>
            <w:r w:rsidRPr="00E47091">
              <w:rPr>
                <w:rFonts w:ascii="Times New Roman" w:hAnsi="Times New Roman" w:cs="Times New Roman"/>
                <w:lang w:val="it"/>
              </w:rPr>
              <w:lastRenderedPageBreak/>
              <w:t>sequenza di orizzonti genetici e determinate proprietà formano uno specifico tipo di suolo.</w:t>
            </w:r>
          </w:p>
        </w:tc>
        <w:tc>
          <w:tcPr>
            <w:tcW w:w="616" w:type="dxa"/>
          </w:tcPr>
          <w:p w14:paraId="0986952D"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16</w:t>
            </w:r>
          </w:p>
        </w:tc>
      </w:tr>
      <w:tr w:rsidR="00864757" w:rsidRPr="00E47091" w14:paraId="111783E3" w14:textId="77777777" w:rsidTr="2C6C7817">
        <w:tc>
          <w:tcPr>
            <w:tcW w:w="2062" w:type="dxa"/>
          </w:tcPr>
          <w:p w14:paraId="54E26381"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Traccianti ambientali</w:t>
            </w:r>
          </w:p>
        </w:tc>
        <w:tc>
          <w:tcPr>
            <w:tcW w:w="1469" w:type="dxa"/>
          </w:tcPr>
          <w:p w14:paraId="0C103D4F" w14:textId="77777777" w:rsidR="00864757" w:rsidRPr="00E47091" w:rsidRDefault="00864757" w:rsidP="00A655ED">
            <w:pPr>
              <w:jc w:val="both"/>
              <w:rPr>
                <w:rFonts w:ascii="Times New Roman" w:hAnsi="Times New Roman" w:cs="Times New Roman"/>
                <w:lang w:val="en-GB"/>
              </w:rPr>
            </w:pPr>
          </w:p>
        </w:tc>
        <w:tc>
          <w:tcPr>
            <w:tcW w:w="5615" w:type="dxa"/>
          </w:tcPr>
          <w:p w14:paraId="660CB353"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Sono sostanze utilizzate per tracciare il movimento dell'acqua, dei contaminanti o di altre sostanze nell'ambiente. Gli isotopi stabili e i gas nobili sono comunemente utilizzati come traccianti per studiare processi come il flusso delle falde acquifere, il trasporto di contaminanti e i cicli biogeochimici.</w:t>
            </w:r>
          </w:p>
          <w:p w14:paraId="104856C4" w14:textId="77777777" w:rsidR="00864757" w:rsidRPr="00864757" w:rsidRDefault="00864757" w:rsidP="00A655ED">
            <w:pPr>
              <w:jc w:val="both"/>
              <w:rPr>
                <w:rFonts w:ascii="Times New Roman" w:hAnsi="Times New Roman" w:cs="Times New Roman"/>
                <w:lang w:val="it-IT"/>
              </w:rPr>
            </w:pPr>
          </w:p>
        </w:tc>
        <w:tc>
          <w:tcPr>
            <w:tcW w:w="616" w:type="dxa"/>
          </w:tcPr>
          <w:p w14:paraId="423547FD"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35</w:t>
            </w:r>
          </w:p>
        </w:tc>
      </w:tr>
      <w:tr w:rsidR="00864757" w:rsidRPr="00E47091" w14:paraId="41971731" w14:textId="77777777" w:rsidTr="2C6C7817">
        <w:tc>
          <w:tcPr>
            <w:tcW w:w="2062" w:type="dxa"/>
          </w:tcPr>
          <w:p w14:paraId="4E2B602C" w14:textId="77777777" w:rsidR="00864757" w:rsidRPr="00E47091" w:rsidRDefault="00864757" w:rsidP="002A67F8">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Traffico controllato</w:t>
            </w:r>
          </w:p>
        </w:tc>
        <w:tc>
          <w:tcPr>
            <w:tcW w:w="1469" w:type="dxa"/>
          </w:tcPr>
          <w:p w14:paraId="7115677A" w14:textId="77777777" w:rsidR="00864757" w:rsidRPr="00E47091" w:rsidRDefault="00864757" w:rsidP="002A67F8">
            <w:pPr>
              <w:jc w:val="both"/>
              <w:rPr>
                <w:rFonts w:ascii="Times New Roman" w:hAnsi="Times New Roman" w:cs="Times New Roman"/>
                <w:lang w:val="en-GB"/>
              </w:rPr>
            </w:pPr>
          </w:p>
        </w:tc>
        <w:tc>
          <w:tcPr>
            <w:tcW w:w="5615" w:type="dxa"/>
          </w:tcPr>
          <w:p w14:paraId="5D2F97F3" w14:textId="77777777" w:rsidR="00864757" w:rsidRPr="00E47091" w:rsidRDefault="00864757" w:rsidP="002A67F8">
            <w:pPr>
              <w:jc w:val="both"/>
              <w:rPr>
                <w:rFonts w:ascii="Times New Roman" w:hAnsi="Times New Roman" w:cs="Times New Roman"/>
                <w:lang w:val="it-IT"/>
              </w:rPr>
            </w:pPr>
            <w:r w:rsidRPr="00E47091">
              <w:rPr>
                <w:rFonts w:ascii="Times New Roman" w:hAnsi="Times New Roman" w:cs="Times New Roman"/>
                <w:lang w:val="it"/>
              </w:rPr>
              <w:t>Utilizzo delle stesse corsie di traffico per macchinari destinati a diverse applicazioni nell'arco di un anno e delle stesse corsie di traffico per più anni, solitamente con il supporto di un sistema di navigazione satellitare, per ridurre la compattazione del terreno.</w:t>
            </w:r>
          </w:p>
        </w:tc>
        <w:tc>
          <w:tcPr>
            <w:tcW w:w="616" w:type="dxa"/>
          </w:tcPr>
          <w:p w14:paraId="05E51D06"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4</w:t>
            </w:r>
          </w:p>
        </w:tc>
      </w:tr>
      <w:tr w:rsidR="00864757" w:rsidRPr="00E47091" w14:paraId="04CC6DDB" w14:textId="77777777" w:rsidTr="2C6C7817">
        <w:tc>
          <w:tcPr>
            <w:tcW w:w="2062" w:type="dxa"/>
          </w:tcPr>
          <w:p w14:paraId="5C618C7D" w14:textId="77777777" w:rsidR="00864757" w:rsidRPr="00E47091" w:rsidRDefault="00864757" w:rsidP="00A655ED">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Transdisciplinarità</w:t>
            </w:r>
          </w:p>
        </w:tc>
        <w:tc>
          <w:tcPr>
            <w:tcW w:w="1469" w:type="dxa"/>
          </w:tcPr>
          <w:p w14:paraId="25578183" w14:textId="77777777" w:rsidR="00864757" w:rsidRPr="00E47091" w:rsidRDefault="00864757" w:rsidP="00A655ED">
            <w:pPr>
              <w:jc w:val="both"/>
              <w:rPr>
                <w:rFonts w:ascii="Times New Roman" w:hAnsi="Times New Roman" w:cs="Times New Roman"/>
                <w:color w:val="3A7C22" w:themeColor="accent6" w:themeShade="BF"/>
                <w:lang w:val="en-GB"/>
              </w:rPr>
            </w:pPr>
          </w:p>
        </w:tc>
        <w:tc>
          <w:tcPr>
            <w:tcW w:w="5615" w:type="dxa"/>
          </w:tcPr>
          <w:p w14:paraId="291039DC"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Integra conoscenze provenienti da discipline e fonti diverse e non accademiche per affrontare problemi complessi, incentrandosi sulla collaborazione tra i vari settori. Approccio di ricerca che integra le conoscenze di diverse discipline accademiche e prevede la collaborazione con soggetti non accademici per affrontare complesse sfide sociali.</w:t>
            </w:r>
            <w:r w:rsidRPr="00E47091">
              <w:rPr>
                <w:lang w:val="it"/>
              </w:rPr>
              <w:t xml:space="preserve"> </w:t>
            </w:r>
            <w:r w:rsidRPr="00E47091">
              <w:rPr>
                <w:rFonts w:ascii="Times New Roman" w:hAnsi="Times New Roman" w:cs="Times New Roman"/>
                <w:lang w:val="it"/>
              </w:rPr>
              <w:t>Sottolinea l'interconnessione tra vari campi e mira a creare soluzioni olistiche associando prospettive e competenze diverse provenienti da varie discipline. Il livello di integrazione è elevato e le discipline e i soggetti interessanti lavorano insieme.</w:t>
            </w:r>
          </w:p>
        </w:tc>
        <w:tc>
          <w:tcPr>
            <w:tcW w:w="616" w:type="dxa"/>
          </w:tcPr>
          <w:p w14:paraId="6E887A65"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31, 36</w:t>
            </w:r>
          </w:p>
        </w:tc>
      </w:tr>
      <w:tr w:rsidR="00864757" w:rsidRPr="00E47091" w14:paraId="7E369F52" w14:textId="77777777" w:rsidTr="2C6C7817">
        <w:tc>
          <w:tcPr>
            <w:tcW w:w="2062" w:type="dxa"/>
          </w:tcPr>
          <w:p w14:paraId="319F1319" w14:textId="77777777" w:rsidR="00864757" w:rsidRPr="00E47091" w:rsidRDefault="00864757" w:rsidP="002A67F8">
            <w:pPr>
              <w:rPr>
                <w:rFonts w:ascii="Times New Roman" w:hAnsi="Times New Roman" w:cs="Times New Roman"/>
                <w:b/>
                <w:color w:val="3A7C22" w:themeColor="accent6" w:themeShade="BF"/>
                <w:lang w:val="en-GB"/>
              </w:rPr>
            </w:pPr>
            <w:r w:rsidRPr="00E47091">
              <w:rPr>
                <w:rFonts w:ascii="Times New Roman" w:hAnsi="Times New Roman" w:cs="Times New Roman"/>
                <w:b/>
                <w:color w:val="3A7C22" w:themeColor="accent6" w:themeShade="BF"/>
                <w:lang w:val="it"/>
              </w:rPr>
              <w:t>Umificazione</w:t>
            </w:r>
          </w:p>
        </w:tc>
        <w:tc>
          <w:tcPr>
            <w:tcW w:w="1469" w:type="dxa"/>
          </w:tcPr>
          <w:p w14:paraId="3EAC63D3" w14:textId="77777777" w:rsidR="00864757" w:rsidRPr="00E47091" w:rsidRDefault="00864757" w:rsidP="00525540">
            <w:pPr>
              <w:jc w:val="both"/>
              <w:rPr>
                <w:rFonts w:ascii="Times New Roman" w:hAnsi="Times New Roman" w:cs="Times New Roman"/>
                <w:lang w:val="en-GB"/>
              </w:rPr>
            </w:pPr>
          </w:p>
        </w:tc>
        <w:tc>
          <w:tcPr>
            <w:tcW w:w="5615" w:type="dxa"/>
          </w:tcPr>
          <w:p w14:paraId="767E62E7"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Procedimento mediante il quale il carbonio dei residui organici viene trasformato e convertito in sostanze umiche attraverso processi biochimici e abiotici.</w:t>
            </w:r>
          </w:p>
        </w:tc>
        <w:tc>
          <w:tcPr>
            <w:tcW w:w="616" w:type="dxa"/>
          </w:tcPr>
          <w:p w14:paraId="69A51C2B"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3</w:t>
            </w:r>
          </w:p>
        </w:tc>
      </w:tr>
      <w:tr w:rsidR="00864757" w:rsidRPr="00E47091" w14:paraId="411B000F" w14:textId="77777777" w:rsidTr="2C6C7817">
        <w:tc>
          <w:tcPr>
            <w:tcW w:w="2062" w:type="dxa"/>
          </w:tcPr>
          <w:p w14:paraId="108AF6BE" w14:textId="77777777" w:rsidR="00864757" w:rsidRPr="00E47091" w:rsidRDefault="00864757" w:rsidP="00A655ED">
            <w:pPr>
              <w:rPr>
                <w:rFonts w:ascii="Times New Roman" w:hAnsi="Times New Roman" w:cs="Times New Roman"/>
                <w:b/>
                <w:color w:val="D86DCB" w:themeColor="accent5" w:themeTint="99"/>
                <w:lang w:val="en-GB"/>
              </w:rPr>
            </w:pPr>
            <w:r w:rsidRPr="00E47091">
              <w:rPr>
                <w:rFonts w:ascii="Times New Roman" w:hAnsi="Times New Roman" w:cs="Times New Roman"/>
                <w:b/>
                <w:color w:val="3A7C22" w:themeColor="accent6" w:themeShade="BF"/>
                <w:lang w:val="it"/>
              </w:rPr>
              <w:t>Valore</w:t>
            </w:r>
          </w:p>
        </w:tc>
        <w:tc>
          <w:tcPr>
            <w:tcW w:w="1469" w:type="dxa"/>
          </w:tcPr>
          <w:p w14:paraId="3E288481" w14:textId="77777777" w:rsidR="00864757" w:rsidRPr="00E47091" w:rsidRDefault="00864757" w:rsidP="00A655ED">
            <w:pPr>
              <w:jc w:val="both"/>
              <w:rPr>
                <w:rFonts w:ascii="Times New Roman" w:hAnsi="Times New Roman" w:cs="Times New Roman"/>
                <w:lang w:val="en-GB"/>
              </w:rPr>
            </w:pPr>
          </w:p>
        </w:tc>
        <w:tc>
          <w:tcPr>
            <w:tcW w:w="5615" w:type="dxa"/>
          </w:tcPr>
          <w:p w14:paraId="33702C85"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lang w:val="it"/>
              </w:rPr>
              <w:t>Nel contesto delle scienze ambientali il valore si riferisce all'importanza o al significato attribuito alle risorse naturali, agli ecosistemi e alla biodiversità. Ciò può comprendere diverse dimensioni, inclusi valori ecologici, economici, sociali e intrinseci.</w:t>
            </w:r>
          </w:p>
          <w:p w14:paraId="7168B41E"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Valore ecologico</w:t>
            </w:r>
            <w:r w:rsidRPr="00E47091">
              <w:rPr>
                <w:rFonts w:ascii="Times New Roman" w:hAnsi="Times New Roman" w:cs="Times New Roman"/>
                <w:lang w:val="it"/>
              </w:rPr>
              <w:t>: Ciò riguarda il ruolo che gli ecosistemi svolgono nel mantenere la biodiversità e nel supportare i processi vitali. Ad esempio, le acque interne dell'Antartide sono riconosciute per la loro biodiversità e produzione biologica uniche, fondamentali per il sostentamento delle specie endemiche nelle regioni polari.</w:t>
            </w:r>
          </w:p>
          <w:p w14:paraId="58D2DFE1"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Valore economico</w:t>
            </w:r>
            <w:r w:rsidRPr="00E47091">
              <w:rPr>
                <w:rFonts w:ascii="Times New Roman" w:hAnsi="Times New Roman" w:cs="Times New Roman"/>
                <w:lang w:val="it"/>
              </w:rPr>
              <w:t>: Questo include i benefici tangibili derivanti dalle risorse naturali, come legname, minerali e servizi ecosistemici come acqua e aria pulite. Il valore economico viene spesso valutato attraverso approcci basati sul mercato o analisi costi-benefici che quantificano i benefici finanziari derivanti dalla conservazione degli habitat naturali.</w:t>
            </w:r>
          </w:p>
          <w:p w14:paraId="2CE393AE"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Valore sociale</w:t>
            </w:r>
            <w:r w:rsidRPr="00E47091">
              <w:rPr>
                <w:rFonts w:ascii="Times New Roman" w:hAnsi="Times New Roman" w:cs="Times New Roman"/>
                <w:lang w:val="it"/>
              </w:rPr>
              <w:t>: Questo riflette l'importanza culturale e ricreativa delle aree naturali per le comunità. Include aspetti quali l'apprezzamento estetico, le connessioni spirituali con la natura e le opportunità ricreative che gli ecosistemi offrono.</w:t>
            </w:r>
          </w:p>
          <w:p w14:paraId="31A544FE" w14:textId="77777777" w:rsidR="00864757" w:rsidRPr="00864757" w:rsidRDefault="00864757" w:rsidP="00A655ED">
            <w:pPr>
              <w:jc w:val="both"/>
              <w:rPr>
                <w:rFonts w:ascii="Times New Roman" w:hAnsi="Times New Roman" w:cs="Times New Roman"/>
                <w:lang w:val="it-IT"/>
              </w:rPr>
            </w:pPr>
            <w:r w:rsidRPr="00E47091">
              <w:rPr>
                <w:rFonts w:ascii="Times New Roman" w:hAnsi="Times New Roman" w:cs="Times New Roman"/>
                <w:b/>
                <w:lang w:val="it"/>
              </w:rPr>
              <w:t>Valore intrinseco</w:t>
            </w:r>
            <w:r w:rsidRPr="00E47091">
              <w:rPr>
                <w:rFonts w:ascii="Times New Roman" w:hAnsi="Times New Roman" w:cs="Times New Roman"/>
                <w:lang w:val="it"/>
              </w:rPr>
              <w:t>: Questo concetto suggerisce che la natura ha un valore in sé e per sé, indipendentemente dalla sua utilità per gli esseri umani. Sostiene la protezione degli ecosistemi in base al loro valore intrinseco.</w:t>
            </w:r>
          </w:p>
        </w:tc>
        <w:tc>
          <w:tcPr>
            <w:tcW w:w="616" w:type="dxa"/>
          </w:tcPr>
          <w:p w14:paraId="2C548264" w14:textId="77777777" w:rsidR="00864757" w:rsidRPr="00E47091" w:rsidRDefault="00864757" w:rsidP="00A655ED">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t>21,22</w:t>
            </w:r>
          </w:p>
        </w:tc>
      </w:tr>
      <w:tr w:rsidR="00864757" w:rsidRPr="00E47091" w14:paraId="50842B3C" w14:textId="77777777" w:rsidTr="2C6C7817">
        <w:tc>
          <w:tcPr>
            <w:tcW w:w="2062" w:type="dxa"/>
          </w:tcPr>
          <w:p w14:paraId="43DE0F19" w14:textId="77777777" w:rsidR="00864757" w:rsidRPr="00864757" w:rsidRDefault="00864757" w:rsidP="002A67F8">
            <w:pPr>
              <w:rPr>
                <w:rFonts w:ascii="Times New Roman" w:hAnsi="Times New Roman" w:cs="Times New Roman"/>
                <w:b/>
                <w:color w:val="D86DCB" w:themeColor="accent5" w:themeTint="99"/>
                <w:lang w:val="it-IT"/>
              </w:rPr>
            </w:pPr>
            <w:r w:rsidRPr="00E47091">
              <w:rPr>
                <w:rFonts w:ascii="Times New Roman" w:hAnsi="Times New Roman" w:cs="Times New Roman"/>
                <w:b/>
                <w:color w:val="3A7C22" w:themeColor="accent6" w:themeShade="BF"/>
                <w:lang w:val="it"/>
              </w:rPr>
              <w:t>Valore di sostituzione dei fertilizzanti</w:t>
            </w:r>
          </w:p>
        </w:tc>
        <w:tc>
          <w:tcPr>
            <w:tcW w:w="1469" w:type="dxa"/>
          </w:tcPr>
          <w:p w14:paraId="38F60F25" w14:textId="77777777" w:rsidR="00864757" w:rsidRPr="00864757" w:rsidRDefault="00864757" w:rsidP="00525540">
            <w:pPr>
              <w:jc w:val="both"/>
              <w:rPr>
                <w:rFonts w:ascii="Times New Roman" w:hAnsi="Times New Roman" w:cs="Times New Roman"/>
                <w:lang w:val="it-IT"/>
              </w:rPr>
            </w:pPr>
          </w:p>
        </w:tc>
        <w:tc>
          <w:tcPr>
            <w:tcW w:w="5615" w:type="dxa"/>
          </w:tcPr>
          <w:p w14:paraId="52AFC8D8"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Espresso in kg/100kg quantifica la quantità di nutrienti (per es. azoto, fosforo, potassio) forniti da 100 chilogrammi di una fonte di nutrienti organici (come letame, compost o residui </w:t>
            </w:r>
            <w:r w:rsidRPr="00E47091">
              <w:rPr>
                <w:rFonts w:ascii="Times New Roman" w:hAnsi="Times New Roman" w:cs="Times New Roman"/>
                <w:lang w:val="it"/>
              </w:rPr>
              <w:lastRenderedPageBreak/>
              <w:t>colturali) che è equivalente alla quantità di nutrienti forniti da fertilizzanti minerali.</w:t>
            </w:r>
            <w:r w:rsidRPr="00E47091">
              <w:rPr>
                <w:lang w:val="it"/>
              </w:rPr>
              <w:t xml:space="preserve"> Per esempio, </w:t>
            </w:r>
            <w:r w:rsidRPr="00E47091">
              <w:rPr>
                <w:rFonts w:ascii="Times New Roman" w:hAnsi="Times New Roman" w:cs="Times New Roman"/>
                <w:lang w:val="it"/>
              </w:rPr>
              <w:t>se 100 kg di letame hanno un valore di sostituzione dei fertilizzanti di 3 kg per il fosforo (P), forniscono la stessa quantità di fosforo disponibile di 3 kg di un fertilizzante minerale fosforico.</w:t>
            </w:r>
          </w:p>
          <w:p w14:paraId="3CB8EE78" w14:textId="77777777" w:rsidR="00864757" w:rsidRPr="00864757" w:rsidRDefault="00864757" w:rsidP="00525540">
            <w:pPr>
              <w:jc w:val="both"/>
              <w:rPr>
                <w:rFonts w:ascii="Times New Roman" w:hAnsi="Times New Roman" w:cs="Times New Roman"/>
                <w:lang w:val="it-IT"/>
              </w:rPr>
            </w:pPr>
            <w:r w:rsidRPr="00E47091">
              <w:rPr>
                <w:rFonts w:ascii="Times New Roman" w:hAnsi="Times New Roman" w:cs="Times New Roman"/>
                <w:lang w:val="it"/>
              </w:rPr>
              <w:t xml:space="preserve">Questa misurazione aiuta gli agricoltori a confrontare l'apporto nutritivo dei materiali organici rispetto ai fertilizzanti sintetici e a prendere decisioni informate sulla gestione dei nutrienti. </w:t>
            </w:r>
          </w:p>
        </w:tc>
        <w:tc>
          <w:tcPr>
            <w:tcW w:w="616" w:type="dxa"/>
          </w:tcPr>
          <w:p w14:paraId="1DA14FEE" w14:textId="77777777" w:rsidR="00864757" w:rsidRPr="00E47091" w:rsidRDefault="00864757" w:rsidP="002A67F8">
            <w:pPr>
              <w:rPr>
                <w:rFonts w:ascii="Times New Roman" w:hAnsi="Times New Roman" w:cs="Times New Roman"/>
                <w:color w:val="663300"/>
                <w:sz w:val="16"/>
                <w:szCs w:val="16"/>
                <w:lang w:val="en-GB"/>
              </w:rPr>
            </w:pPr>
            <w:r w:rsidRPr="00E47091">
              <w:rPr>
                <w:rFonts w:ascii="Times New Roman" w:hAnsi="Times New Roman" w:cs="Times New Roman"/>
                <w:color w:val="663300"/>
                <w:sz w:val="16"/>
                <w:szCs w:val="16"/>
                <w:lang w:val="it"/>
              </w:rPr>
              <w:lastRenderedPageBreak/>
              <w:t>4, 42</w:t>
            </w:r>
          </w:p>
        </w:tc>
      </w:tr>
      <w:tr w:rsidR="00A655ED" w:rsidRPr="00E47091" w14:paraId="78697CF3" w14:textId="77777777" w:rsidTr="2C6C7817">
        <w:tc>
          <w:tcPr>
            <w:tcW w:w="2062" w:type="dxa"/>
          </w:tcPr>
          <w:p w14:paraId="1E6E5ADB" w14:textId="77777777" w:rsidR="00A655ED" w:rsidRPr="00E47091"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E47091" w:rsidRDefault="00A655ED" w:rsidP="00A655ED">
            <w:pPr>
              <w:jc w:val="both"/>
              <w:rPr>
                <w:rFonts w:ascii="Times New Roman" w:hAnsi="Times New Roman" w:cs="Times New Roman"/>
                <w:lang w:val="en-GB"/>
              </w:rPr>
            </w:pPr>
          </w:p>
        </w:tc>
        <w:tc>
          <w:tcPr>
            <w:tcW w:w="5615" w:type="dxa"/>
          </w:tcPr>
          <w:p w14:paraId="4431CEFA" w14:textId="77777777" w:rsidR="00A655ED" w:rsidRPr="00E47091" w:rsidRDefault="00A655ED" w:rsidP="00A655ED">
            <w:pPr>
              <w:jc w:val="both"/>
              <w:rPr>
                <w:rFonts w:ascii="Times New Roman" w:hAnsi="Times New Roman" w:cs="Times New Roman"/>
                <w:lang w:val="en-GB"/>
              </w:rPr>
            </w:pPr>
          </w:p>
        </w:tc>
        <w:tc>
          <w:tcPr>
            <w:tcW w:w="616" w:type="dxa"/>
          </w:tcPr>
          <w:p w14:paraId="45DE3379" w14:textId="77777777" w:rsidR="00A655ED" w:rsidRPr="00E47091" w:rsidRDefault="00A655ED" w:rsidP="00A655ED">
            <w:pPr>
              <w:rPr>
                <w:rFonts w:ascii="Times New Roman" w:hAnsi="Times New Roman" w:cs="Times New Roman"/>
                <w:color w:val="663300"/>
                <w:sz w:val="16"/>
                <w:szCs w:val="16"/>
                <w:lang w:val="en-GB"/>
              </w:rPr>
            </w:pPr>
          </w:p>
        </w:tc>
      </w:tr>
    </w:tbl>
    <w:p w14:paraId="7B4FB9C5" w14:textId="77777777" w:rsidR="00AD6E49" w:rsidRPr="00E47091" w:rsidRDefault="00AD6E49" w:rsidP="00AD6E49">
      <w:pPr>
        <w:pStyle w:val="ListParagraph"/>
        <w:spacing w:after="0"/>
        <w:ind w:left="0"/>
        <w:rPr>
          <w:rFonts w:ascii="Arial" w:hAnsi="Arial" w:cs="Arial"/>
          <w:b/>
          <w:color w:val="3A7C22" w:themeColor="accent6" w:themeShade="BF"/>
          <w:sz w:val="24"/>
          <w:szCs w:val="24"/>
          <w:lang w:val="en-GB"/>
        </w:rPr>
      </w:pPr>
    </w:p>
    <w:p w14:paraId="3C96A377" w14:textId="3F0B9E55" w:rsidR="00AD6E49" w:rsidRPr="00E47091" w:rsidRDefault="00AD6E49" w:rsidP="00AD6E49">
      <w:pPr>
        <w:pStyle w:val="ListParagraph"/>
        <w:spacing w:after="0"/>
        <w:ind w:left="0"/>
        <w:rPr>
          <w:rFonts w:ascii="Times New Roman" w:hAnsi="Times New Roman" w:cs="Times New Roman"/>
          <w:b/>
          <w:color w:val="3A7C22" w:themeColor="accent6" w:themeShade="BF"/>
          <w:sz w:val="24"/>
          <w:szCs w:val="24"/>
          <w:lang w:val="en-GB"/>
        </w:rPr>
      </w:pPr>
      <w:r w:rsidRPr="00E47091">
        <w:rPr>
          <w:rFonts w:ascii="Times New Roman" w:hAnsi="Times New Roman" w:cs="Times New Roman"/>
          <w:b/>
          <w:color w:val="3A7C22" w:themeColor="accent6" w:themeShade="BF"/>
          <w:sz w:val="24"/>
          <w:szCs w:val="24"/>
          <w:lang w:val="it"/>
        </w:rPr>
        <w:t>Bibliografia:</w:t>
      </w:r>
    </w:p>
    <w:p w14:paraId="7A09F175" w14:textId="77777777" w:rsidR="00AD6E49" w:rsidRPr="00E47091" w:rsidRDefault="00AD6E49" w:rsidP="00AD6E49">
      <w:pPr>
        <w:pStyle w:val="ListParagraph"/>
        <w:spacing w:after="0"/>
        <w:ind w:left="0"/>
        <w:rPr>
          <w:rFonts w:ascii="Times New Roman" w:hAnsi="Times New Roman" w:cs="Times New Roman"/>
          <w:b/>
          <w:color w:val="3A7C22" w:themeColor="accent6" w:themeShade="BF"/>
          <w:lang w:val="en-GB"/>
        </w:rPr>
      </w:pPr>
    </w:p>
    <w:p w14:paraId="6A80FE8D" w14:textId="2F885DAC" w:rsidR="00AD6E49" w:rsidRPr="00E47091"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The Nature-Based Solutions for Soil Management – NBSOIL EU Project, Glossary </w:t>
      </w:r>
      <w:r w:rsidR="0000609E" w:rsidRPr="00864757">
        <w:rPr>
          <w:rFonts w:ascii="Times New Roman" w:hAnsi="Times New Roman" w:cs="Times New Roman"/>
          <w:color w:val="000000" w:themeColor="text1"/>
          <w:lang w:val="en-GB"/>
        </w:rPr>
        <w:t>available</w:t>
      </w:r>
      <w:r w:rsidRPr="00864757">
        <w:rPr>
          <w:rFonts w:ascii="Times New Roman" w:hAnsi="Times New Roman" w:cs="Times New Roman"/>
          <w:color w:val="000000" w:themeColor="text1"/>
          <w:lang w:val="en-GB"/>
        </w:rPr>
        <w:t xml:space="preserve"> at: </w:t>
      </w:r>
      <w:hyperlink r:id="rId18" w:history="1">
        <w:r w:rsidRPr="00864757">
          <w:rPr>
            <w:rStyle w:val="Hyperlink"/>
            <w:rFonts w:ascii="Times New Roman" w:hAnsi="Times New Roman" w:cs="Times New Roman"/>
            <w:color w:val="000000" w:themeColor="text1"/>
            <w:lang w:val="en-GB"/>
          </w:rPr>
          <w:t>https://nbsoil.eu/glossary/</w:t>
        </w:r>
      </w:hyperlink>
    </w:p>
    <w:p w14:paraId="71B25A89" w14:textId="0BECBFDB" w:rsidR="00AD6E49" w:rsidRPr="00E47091"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Soil Health Be</w:t>
      </w:r>
      <w:r w:rsidR="492994D7" w:rsidRPr="00864757">
        <w:rPr>
          <w:rFonts w:ascii="Times New Roman" w:hAnsi="Times New Roman" w:cs="Times New Roman"/>
          <w:color w:val="000000" w:themeColor="text1"/>
          <w:lang w:val="en-GB"/>
        </w:rPr>
        <w:t>n</w:t>
      </w:r>
      <w:r w:rsidRPr="00864757">
        <w:rPr>
          <w:rFonts w:ascii="Times New Roman" w:hAnsi="Times New Roman" w:cs="Times New Roman"/>
          <w:color w:val="000000" w:themeColor="text1"/>
          <w:lang w:val="en-GB"/>
        </w:rPr>
        <w:t xml:space="preserve">chmarks, EU Project 2022, Glossary available at: </w:t>
      </w:r>
      <w:hyperlink r:id="rId19">
        <w:r w:rsidRPr="00864757">
          <w:rPr>
            <w:rStyle w:val="Hyperlink"/>
            <w:rFonts w:ascii="Times New Roman" w:hAnsi="Times New Roman" w:cs="Times New Roman"/>
            <w:color w:val="000000" w:themeColor="text1"/>
            <w:lang w:val="en-GB"/>
          </w:rPr>
          <w:t>https://soilhealthbenchmarks.eu/glossary/</w:t>
        </w:r>
      </w:hyperlink>
    </w:p>
    <w:p w14:paraId="62482883" w14:textId="074906C9" w:rsidR="00AD6E49" w:rsidRPr="00E47091"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SoilCare Project (2023) Glossary. Available at: </w:t>
      </w:r>
      <w:hyperlink r:id="rId20" w:history="1">
        <w:r w:rsidRPr="00864757">
          <w:rPr>
            <w:rStyle w:val="Hyperlink"/>
            <w:rFonts w:ascii="Times New Roman" w:hAnsi="Times New Roman" w:cs="Times New Roman"/>
            <w:color w:val="000000" w:themeColor="text1"/>
            <w:lang w:val="en-GB"/>
          </w:rPr>
          <w:t>https://www.soilcare-project.eu/resources/glossary</w:t>
        </w:r>
      </w:hyperlink>
      <w:r w:rsidRPr="00864757">
        <w:rPr>
          <w:rFonts w:ascii="Times New Roman" w:hAnsi="Times New Roman" w:cs="Times New Roman"/>
          <w:color w:val="000000" w:themeColor="text1"/>
          <w:lang w:val="en-GB"/>
        </w:rPr>
        <w:t xml:space="preserve"> (Accessed: 28 August 2024).</w:t>
      </w:r>
    </w:p>
    <w:p w14:paraId="0547156A" w14:textId="1488E471" w:rsidR="002834EC" w:rsidRPr="00E47091" w:rsidRDefault="002834EC" w:rsidP="003B4948">
      <w:pPr>
        <w:pStyle w:val="ListParagraph"/>
        <w:numPr>
          <w:ilvl w:val="0"/>
          <w:numId w:val="1"/>
        </w:numPr>
        <w:ind w:left="426" w:hanging="426"/>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Landmark, EU Proje</w:t>
      </w:r>
      <w:r w:rsidR="00582A39" w:rsidRPr="00864757">
        <w:rPr>
          <w:rFonts w:ascii="Times New Roman" w:hAnsi="Times New Roman" w:cs="Times New Roman"/>
          <w:color w:val="000000" w:themeColor="text1"/>
          <w:lang w:val="en-GB"/>
        </w:rPr>
        <w:t>c</w:t>
      </w:r>
      <w:r w:rsidRPr="00864757">
        <w:rPr>
          <w:rFonts w:ascii="Times New Roman" w:hAnsi="Times New Roman" w:cs="Times New Roman"/>
          <w:color w:val="000000" w:themeColor="text1"/>
          <w:lang w:val="en-GB"/>
        </w:rPr>
        <w:t xml:space="preserve">t 2015, Glossary available at </w:t>
      </w:r>
      <w:hyperlink r:id="rId21" w:history="1">
        <w:r w:rsidRPr="00864757">
          <w:rPr>
            <w:rStyle w:val="Hyperlink"/>
            <w:rFonts w:ascii="Times New Roman" w:hAnsi="Times New Roman" w:cs="Times New Roman"/>
            <w:color w:val="000000" w:themeColor="text1"/>
            <w:lang w:val="en-GB"/>
          </w:rPr>
          <w:t>https://landmarkproject.eu/landmark-glossary/#</w:t>
        </w:r>
      </w:hyperlink>
      <w:r w:rsidRPr="00864757">
        <w:rPr>
          <w:rFonts w:ascii="Times New Roman" w:hAnsi="Times New Roman" w:cs="Times New Roman"/>
          <w:color w:val="000000" w:themeColor="text1"/>
          <w:lang w:val="en-GB"/>
        </w:rPr>
        <w:t xml:space="preserve"> (Accessed: 28 August 2024).</w:t>
      </w:r>
    </w:p>
    <w:p w14:paraId="130D4599" w14:textId="62B07926" w:rsidR="0021576C" w:rsidRPr="00E47091"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864757">
        <w:rPr>
          <w:rFonts w:ascii="Times New Roman" w:hAnsi="Times New Roman" w:cs="Times New Roman"/>
          <w:color w:val="000000" w:themeColor="text1"/>
          <w:shd w:val="clear" w:color="auto" w:fill="FFFFFF"/>
          <w:lang w:val="en-GB"/>
        </w:rPr>
        <w:t xml:space="preserve">Huntley, B.J. (2023). Soil, Water and Nutrients. In: Ecology of Angola. Springer, Cham. </w:t>
      </w:r>
      <w:hyperlink r:id="rId22" w:history="1">
        <w:r w:rsidRPr="00E47091">
          <w:rPr>
            <w:rStyle w:val="Hyperlink"/>
            <w:rFonts w:ascii="Times New Roman" w:hAnsi="Times New Roman" w:cs="Times New Roman"/>
            <w:color w:val="000000" w:themeColor="text1"/>
            <w:shd w:val="clear" w:color="auto" w:fill="FFFFFF"/>
            <w:lang w:val="it"/>
          </w:rPr>
          <w:t>https://doi.org/10.1007/978-3-031-18923-4_6</w:t>
        </w:r>
      </w:hyperlink>
      <w:r w:rsidRPr="00E47091">
        <w:rPr>
          <w:rFonts w:ascii="Times New Roman" w:hAnsi="Times New Roman" w:cs="Times New Roman"/>
          <w:color w:val="000000" w:themeColor="text1"/>
          <w:shd w:val="clear" w:color="auto" w:fill="FFFFFF"/>
          <w:lang w:val="it"/>
        </w:rPr>
        <w:t xml:space="preserve"> (</w:t>
      </w:r>
      <w:hyperlink r:id="rId23" w:anchor="citeas" w:history="1">
        <w:r w:rsidRPr="00E47091">
          <w:rPr>
            <w:rStyle w:val="Hyperlink"/>
            <w:rFonts w:ascii="Times New Roman" w:hAnsi="Times New Roman" w:cs="Times New Roman"/>
            <w:color w:val="000000" w:themeColor="text1"/>
            <w:shd w:val="clear" w:color="auto" w:fill="FFFFFF"/>
            <w:lang w:val="it"/>
          </w:rPr>
          <w:t>https://link.springer.com/chapter/10.1007/978-3-031-18923-4_6#citeas</w:t>
        </w:r>
      </w:hyperlink>
      <w:r w:rsidRPr="00E47091">
        <w:rPr>
          <w:rFonts w:ascii="Times New Roman" w:hAnsi="Times New Roman" w:cs="Times New Roman"/>
          <w:color w:val="000000" w:themeColor="text1"/>
          <w:shd w:val="clear" w:color="auto" w:fill="FFFFFF"/>
          <w:lang w:val="it"/>
        </w:rPr>
        <w:t>)</w:t>
      </w:r>
    </w:p>
    <w:p w14:paraId="7F33B9FF" w14:textId="77777777" w:rsidR="003B4948" w:rsidRPr="00E47091"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Radziuk, H</w:t>
      </w:r>
      <w:r w:rsidR="005A766D" w:rsidRPr="00864757">
        <w:rPr>
          <w:rFonts w:ascii="Times New Roman" w:hAnsi="Times New Roman" w:cs="Times New Roman"/>
          <w:color w:val="000000" w:themeColor="text1"/>
          <w:lang w:val="en-GB"/>
        </w:rPr>
        <w:t>.</w:t>
      </w:r>
      <w:r w:rsidRPr="00864757">
        <w:rPr>
          <w:rFonts w:ascii="Times New Roman" w:hAnsi="Times New Roman" w:cs="Times New Roman"/>
          <w:color w:val="000000" w:themeColor="text1"/>
          <w:lang w:val="en-GB"/>
        </w:rPr>
        <w:t>, Świtoniak.</w:t>
      </w:r>
      <w:r w:rsidR="005A766D" w:rsidRPr="00864757">
        <w:rPr>
          <w:rFonts w:ascii="Times New Roman" w:hAnsi="Times New Roman" w:cs="Times New Roman"/>
          <w:color w:val="000000" w:themeColor="text1"/>
          <w:lang w:val="en-GB"/>
        </w:rPr>
        <w:t xml:space="preserve"> M. (</w:t>
      </w:r>
      <w:r w:rsidRPr="00864757">
        <w:rPr>
          <w:rFonts w:ascii="Times New Roman" w:hAnsi="Times New Roman" w:cs="Times New Roman"/>
          <w:color w:val="000000" w:themeColor="text1"/>
          <w:lang w:val="en-GB"/>
        </w:rPr>
        <w:t>2022</w:t>
      </w:r>
      <w:r w:rsidR="005A766D" w:rsidRPr="00864757">
        <w:rPr>
          <w:rFonts w:ascii="Times New Roman" w:hAnsi="Times New Roman" w:cs="Times New Roman"/>
          <w:color w:val="000000" w:themeColor="text1"/>
          <w:lang w:val="en-GB"/>
        </w:rPr>
        <w:t>)</w:t>
      </w:r>
      <w:r w:rsidRPr="00864757">
        <w:rPr>
          <w:rFonts w:ascii="Times New Roman" w:hAnsi="Times New Roman" w:cs="Times New Roman"/>
          <w:color w:val="000000" w:themeColor="text1"/>
          <w:lang w:val="en-GB"/>
        </w:rPr>
        <w:t>. The Effect of Erosional Transformation of Soil Cover on the Stability of Soil Aggregates within Young Hummocky Moraine Landscapes in Northern Poland</w:t>
      </w:r>
      <w:r w:rsidR="005A766D" w:rsidRPr="00864757">
        <w:rPr>
          <w:rFonts w:ascii="Times New Roman" w:hAnsi="Times New Roman" w:cs="Times New Roman"/>
          <w:color w:val="000000" w:themeColor="text1"/>
          <w:lang w:val="en-GB"/>
        </w:rPr>
        <w:t>.</w:t>
      </w:r>
      <w:r w:rsidRPr="00864757">
        <w:rPr>
          <w:rFonts w:ascii="Times New Roman" w:hAnsi="Times New Roman" w:cs="Times New Roman"/>
          <w:color w:val="000000" w:themeColor="text1"/>
          <w:lang w:val="en-GB"/>
        </w:rPr>
        <w:t xml:space="preserve"> </w:t>
      </w:r>
      <w:r w:rsidRPr="00E47091">
        <w:rPr>
          <w:rFonts w:ascii="Times New Roman" w:hAnsi="Times New Roman" w:cs="Times New Roman"/>
          <w:color w:val="000000" w:themeColor="text1"/>
          <w:lang w:val="it"/>
        </w:rPr>
        <w:t xml:space="preserve">Agronomy 12, no. 11: 2595. </w:t>
      </w:r>
      <w:hyperlink r:id="rId24" w:history="1">
        <w:r w:rsidR="005A766D" w:rsidRPr="00E47091">
          <w:rPr>
            <w:rStyle w:val="Hyperlink"/>
            <w:rFonts w:ascii="Times New Roman" w:hAnsi="Times New Roman" w:cs="Times New Roman"/>
            <w:color w:val="000000" w:themeColor="text1"/>
            <w:lang w:val="it"/>
          </w:rPr>
          <w:t>https://doi.org/10.3390/agronomy12112595</w:t>
        </w:r>
      </w:hyperlink>
      <w:r w:rsidR="00767523" w:rsidRPr="00E47091">
        <w:rPr>
          <w:rFonts w:ascii="Times New Roman" w:hAnsi="Times New Roman" w:cs="Times New Roman"/>
          <w:color w:val="000000" w:themeColor="text1"/>
          <w:lang w:val="it"/>
        </w:rPr>
        <w:t>.</w:t>
      </w:r>
    </w:p>
    <w:p w14:paraId="7E736D69" w14:textId="1FB53DF2" w:rsidR="00767523" w:rsidRPr="00E47091" w:rsidRDefault="00C60A38" w:rsidP="003B4948">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Hoorman, J., Reeder, R., Sundermeier, A., Islam R., Aziz, I., </w:t>
      </w:r>
      <w:r w:rsidR="001A43DB" w:rsidRPr="00864757">
        <w:rPr>
          <w:rFonts w:ascii="Times New Roman" w:hAnsi="Times New Roman" w:cs="Times New Roman"/>
          <w:color w:val="000000" w:themeColor="text1"/>
          <w:lang w:val="en-GB"/>
        </w:rPr>
        <w:t xml:space="preserve">(2012). </w:t>
      </w:r>
      <w:r w:rsidRPr="00864757">
        <w:rPr>
          <w:rFonts w:ascii="Times New Roman" w:hAnsi="Times New Roman" w:cs="Times New Roman"/>
          <w:color w:val="000000" w:themeColor="text1"/>
          <w:lang w:val="en-GB"/>
        </w:rPr>
        <w:t>Soil Terminology and Definitions, Ohio State University</w:t>
      </w:r>
      <w:r w:rsidR="001A43DB" w:rsidRPr="00864757">
        <w:rPr>
          <w:rFonts w:ascii="Times New Roman" w:hAnsi="Times New Roman" w:cs="Times New Roman"/>
          <w:color w:val="000000" w:themeColor="text1"/>
          <w:lang w:val="en-GB"/>
        </w:rPr>
        <w:t xml:space="preserve"> extension</w:t>
      </w:r>
      <w:r w:rsidRPr="00864757">
        <w:rPr>
          <w:rFonts w:ascii="Times New Roman" w:hAnsi="Times New Roman" w:cs="Times New Roman"/>
          <w:color w:val="000000" w:themeColor="text1"/>
          <w:lang w:val="en-GB"/>
        </w:rPr>
        <w:t xml:space="preserve">. </w:t>
      </w:r>
      <w:hyperlink r:id="rId25" w:history="1">
        <w:r w:rsidR="001A43DB" w:rsidRPr="00E47091">
          <w:rPr>
            <w:rStyle w:val="Hyperlink"/>
            <w:rFonts w:ascii="Times New Roman" w:hAnsi="Times New Roman" w:cs="Times New Roman"/>
            <w:lang w:val="it"/>
          </w:rPr>
          <w:t>https://ohioline.osu.edu/factsheet/SAG-19</w:t>
        </w:r>
      </w:hyperlink>
      <w:r w:rsidR="001A43DB" w:rsidRPr="00E47091">
        <w:rPr>
          <w:rFonts w:ascii="Times New Roman" w:hAnsi="Times New Roman" w:cs="Times New Roman"/>
          <w:color w:val="000000" w:themeColor="text1"/>
          <w:lang w:val="it"/>
        </w:rPr>
        <w:t xml:space="preserve"> (Acces</w:t>
      </w:r>
      <w:r w:rsidR="0000609E" w:rsidRPr="00E47091">
        <w:rPr>
          <w:rFonts w:ascii="Times New Roman" w:hAnsi="Times New Roman" w:cs="Times New Roman"/>
          <w:color w:val="000000" w:themeColor="text1"/>
          <w:lang w:val="it"/>
        </w:rPr>
        <w:t>s</w:t>
      </w:r>
      <w:r w:rsidR="001A43DB" w:rsidRPr="00E47091">
        <w:rPr>
          <w:rFonts w:ascii="Times New Roman" w:hAnsi="Times New Roman" w:cs="Times New Roman"/>
          <w:color w:val="000000" w:themeColor="text1"/>
          <w:lang w:val="it"/>
        </w:rPr>
        <w:t>ed: 29 august 2024)</w:t>
      </w:r>
    </w:p>
    <w:p w14:paraId="2D394610" w14:textId="77777777" w:rsidR="003B4948" w:rsidRPr="00E47091"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E47091">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E47091" w:rsidRDefault="003B4948" w:rsidP="003B4948">
      <w:pPr>
        <w:pStyle w:val="ListParagraph"/>
        <w:numPr>
          <w:ilvl w:val="0"/>
          <w:numId w:val="1"/>
        </w:numPr>
        <w:ind w:left="426" w:hanging="426"/>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E47091">
        <w:rPr>
          <w:rFonts w:ascii="Times New Roman" w:hAnsi="Times New Roman" w:cs="Times New Roman"/>
          <w:color w:val="000000" w:themeColor="text1"/>
          <w:lang w:val="it"/>
        </w:rPr>
        <w:t>Hannover, Landesamt für Bergbau, Energie und Geologie.</w:t>
      </w:r>
    </w:p>
    <w:p w14:paraId="3628C2EE" w14:textId="77777777" w:rsidR="003B4948" w:rsidRPr="00E47091"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E47091">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E47091"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European Coordination Via Campesina (2016). </w:t>
      </w:r>
      <w:r w:rsidRPr="00864757">
        <w:rPr>
          <w:rFonts w:ascii="Times New Roman" w:hAnsi="Times New Roman" w:cs="Times New Roman"/>
          <w:lang w:val="en-GB"/>
        </w:rPr>
        <w:t>How do we define Land Grabbing?</w:t>
      </w:r>
      <w:r w:rsidRPr="00864757">
        <w:rPr>
          <w:rFonts w:ascii="Times New Roman" w:hAnsi="Times New Roman" w:cs="Times New Roman"/>
          <w:color w:val="000000" w:themeColor="text1"/>
          <w:lang w:val="en-GB"/>
        </w:rPr>
        <w:t xml:space="preserve"> </w:t>
      </w:r>
      <w:hyperlink r:id="rId26" w:history="1">
        <w:r w:rsidRPr="00864757">
          <w:rPr>
            <w:rStyle w:val="Hyperlink"/>
            <w:rFonts w:ascii="Times New Roman" w:hAnsi="Times New Roman" w:cs="Times New Roman"/>
            <w:lang w:val="en-GB"/>
          </w:rPr>
          <w:t>https://www.eurovia.org/wp-content/uploads/2016/11/defining-land-grabs.pdf</w:t>
        </w:r>
      </w:hyperlink>
      <w:r w:rsidRPr="00864757">
        <w:rPr>
          <w:rFonts w:ascii="Times New Roman" w:hAnsi="Times New Roman" w:cs="Times New Roman"/>
          <w:color w:val="000000" w:themeColor="text1"/>
          <w:lang w:val="en-GB"/>
        </w:rPr>
        <w:t xml:space="preserve"> </w:t>
      </w:r>
      <w:bookmarkStart w:id="3" w:name="_Hlk180704550"/>
      <w:r w:rsidRPr="00864757">
        <w:rPr>
          <w:rFonts w:ascii="Times New Roman" w:hAnsi="Times New Roman" w:cs="Times New Roman"/>
          <w:color w:val="000000" w:themeColor="text1"/>
          <w:lang w:val="en-GB"/>
        </w:rPr>
        <w:t>(Acces</w:t>
      </w:r>
      <w:r w:rsidR="0000609E" w:rsidRPr="00864757">
        <w:rPr>
          <w:rFonts w:ascii="Times New Roman" w:hAnsi="Times New Roman" w:cs="Times New Roman"/>
          <w:color w:val="000000" w:themeColor="text1"/>
          <w:lang w:val="en-GB"/>
        </w:rPr>
        <w:t>s</w:t>
      </w:r>
      <w:r w:rsidRPr="00864757">
        <w:rPr>
          <w:rFonts w:ascii="Times New Roman" w:hAnsi="Times New Roman" w:cs="Times New Roman"/>
          <w:color w:val="000000" w:themeColor="text1"/>
          <w:lang w:val="en-GB"/>
        </w:rPr>
        <w:t>ed:</w:t>
      </w:r>
      <w:r w:rsidR="00262263" w:rsidRPr="00864757">
        <w:rPr>
          <w:rFonts w:ascii="Times New Roman" w:hAnsi="Times New Roman" w:cs="Times New Roman"/>
          <w:color w:val="000000" w:themeColor="text1"/>
          <w:lang w:val="en-GB"/>
        </w:rPr>
        <w:t xml:space="preserve"> </w:t>
      </w:r>
      <w:r w:rsidRPr="00864757">
        <w:rPr>
          <w:rFonts w:ascii="Times New Roman" w:hAnsi="Times New Roman" w:cs="Times New Roman"/>
          <w:color w:val="000000" w:themeColor="text1"/>
          <w:lang w:val="en-GB"/>
        </w:rPr>
        <w:t>6.10.2024)</w:t>
      </w:r>
      <w:bookmarkEnd w:id="3"/>
    </w:p>
    <w:p w14:paraId="083A7C4A" w14:textId="18ECFB56" w:rsidR="006D24D6" w:rsidRPr="00E47091"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Kopittke, P. M., Minasny, B., Pendall, E., Rumpel, C., &amp; McKenna, B. A. (2023). Healthy soil for healthy humans and a healthy planet. Critical Reviews in Environmental Science and Technology, 54(3), 210–221. </w:t>
      </w:r>
      <w:hyperlink r:id="rId27" w:history="1">
        <w:r w:rsidRPr="00E47091">
          <w:rPr>
            <w:rStyle w:val="Hyperlink"/>
            <w:rFonts w:ascii="Times New Roman" w:hAnsi="Times New Roman" w:cs="Times New Roman"/>
            <w:lang w:val="it"/>
          </w:rPr>
          <w:t>https://doi.org/10.1080/10643389.2023.2228651</w:t>
        </w:r>
      </w:hyperlink>
      <w:r w:rsidRPr="00E47091">
        <w:rPr>
          <w:rFonts w:ascii="Times New Roman" w:hAnsi="Times New Roman" w:cs="Times New Roman"/>
          <w:color w:val="000000" w:themeColor="text1"/>
          <w:lang w:val="it"/>
        </w:rPr>
        <w:t>.</w:t>
      </w:r>
    </w:p>
    <w:p w14:paraId="46BEDADB" w14:textId="3F3CC20B" w:rsidR="00E03E8D" w:rsidRPr="00E47091" w:rsidRDefault="00E03E8D" w:rsidP="003B4948">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NSRI Staff (2011). Glossary of Soil-Related Terms. </w:t>
      </w:r>
      <w:r w:rsidRPr="00E47091">
        <w:rPr>
          <w:rFonts w:ascii="Times New Roman" w:hAnsi="Times New Roman" w:cs="Times New Roman"/>
          <w:color w:val="000000" w:themeColor="text1"/>
          <w:lang w:val="it"/>
        </w:rPr>
        <w:t>9pp. NSRI, Cranfield University, UK,</w:t>
      </w:r>
      <w:r w:rsidRPr="00E47091">
        <w:rPr>
          <w:lang w:val="it"/>
        </w:rPr>
        <w:t xml:space="preserve"> </w:t>
      </w:r>
      <w:hyperlink r:id="rId28" w:history="1">
        <w:r w:rsidRPr="00E47091">
          <w:rPr>
            <w:rStyle w:val="Hyperlink"/>
            <w:rFonts w:ascii="Times New Roman" w:hAnsi="Times New Roman" w:cs="Times New Roman"/>
            <w:lang w:val="it"/>
          </w:rPr>
          <w:t>https://www.landis.org.uk/downloads/downloads/Glossary.pdf</w:t>
        </w:r>
      </w:hyperlink>
    </w:p>
    <w:p w14:paraId="22DED156" w14:textId="77777777" w:rsidR="00DD73DC" w:rsidRPr="00E47091" w:rsidRDefault="00DD73DC" w:rsidP="003B4948">
      <w:pPr>
        <w:pStyle w:val="ListParagraph"/>
        <w:numPr>
          <w:ilvl w:val="0"/>
          <w:numId w:val="1"/>
        </w:numPr>
        <w:ind w:left="426" w:hanging="426"/>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lang w:val="da-DK"/>
        </w:rPr>
        <w:t xml:space="preserve">Reiff, J., Jungkunst, H.F., Mauser, K.M. et al. </w:t>
      </w:r>
      <w:r w:rsidRPr="00864757">
        <w:rPr>
          <w:rFonts w:ascii="Times New Roman" w:hAnsi="Times New Roman" w:cs="Times New Roman"/>
          <w:color w:val="000000" w:themeColor="text1"/>
          <w:lang w:val="en-GB"/>
        </w:rPr>
        <w:t xml:space="preserve">(2024). Permaculture enhances carbon stocks, soil quality and biodiversity in Central Europe. </w:t>
      </w:r>
      <w:r w:rsidRPr="00E47091">
        <w:rPr>
          <w:rFonts w:ascii="Times New Roman" w:hAnsi="Times New Roman" w:cs="Times New Roman"/>
          <w:color w:val="000000" w:themeColor="text1"/>
          <w:lang w:val="it"/>
        </w:rPr>
        <w:t xml:space="preserve">Commun Earth Environ 5, 305. </w:t>
      </w:r>
      <w:hyperlink r:id="rId29" w:history="1">
        <w:r w:rsidRPr="00E47091">
          <w:rPr>
            <w:rStyle w:val="Hyperlink"/>
            <w:rFonts w:ascii="Times New Roman" w:hAnsi="Times New Roman" w:cs="Times New Roman"/>
            <w:lang w:val="it"/>
          </w:rPr>
          <w:t>https://doi.org/10.1038/s43247-024-01405-8</w:t>
        </w:r>
      </w:hyperlink>
      <w:r w:rsidRPr="00E47091">
        <w:rPr>
          <w:rFonts w:ascii="Times New Roman" w:hAnsi="Times New Roman" w:cs="Times New Roman"/>
          <w:color w:val="000000" w:themeColor="text1"/>
          <w:lang w:val="it"/>
        </w:rPr>
        <w:t xml:space="preserve">. </w:t>
      </w:r>
    </w:p>
    <w:p w14:paraId="5911988C" w14:textId="5672D5D4" w:rsidR="003F1C18" w:rsidRPr="00E47091" w:rsidRDefault="003F1C18" w:rsidP="003B4948">
      <w:pPr>
        <w:pStyle w:val="ListParagraph"/>
        <w:numPr>
          <w:ilvl w:val="0"/>
          <w:numId w:val="1"/>
        </w:numPr>
        <w:ind w:left="426" w:hanging="426"/>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lang w:val="pl-PL"/>
        </w:rPr>
        <w:t xml:space="preserve">Bednarek, R., Skiba, S. (2015). Czynniki i procesy glebotwórcze. </w:t>
      </w:r>
      <w:r w:rsidRPr="00E47091">
        <w:rPr>
          <w:rFonts w:ascii="Times New Roman" w:hAnsi="Times New Roman" w:cs="Times New Roman"/>
          <w:color w:val="000000" w:themeColor="text1"/>
          <w:lang w:val="it"/>
        </w:rPr>
        <w:t>Chapt 3 in: Mocek A. (Ed). Gleboznawstwo. PWN, Warszawa, Poland.</w:t>
      </w:r>
    </w:p>
    <w:p w14:paraId="13161791" w14:textId="77777777" w:rsidR="002A67F8" w:rsidRPr="00E47091" w:rsidRDefault="00AF434D"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W.E.H. Blum, W.E.H., Schad, P., Nortcliff, S. (2018). Essentials of soil science. </w:t>
      </w:r>
      <w:r w:rsidRPr="00E47091">
        <w:rPr>
          <w:rFonts w:ascii="Times New Roman" w:hAnsi="Times New Roman" w:cs="Times New Roman"/>
          <w:color w:val="000000" w:themeColor="text1"/>
          <w:lang w:val="it"/>
        </w:rPr>
        <w:t>Borntraeger Science Publishers, Stuttgart.</w:t>
      </w:r>
    </w:p>
    <w:p w14:paraId="5192CDF2" w14:textId="10D24064" w:rsidR="00AE11B5" w:rsidRPr="00E47091"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lang w:val="pl-PL"/>
        </w:rPr>
        <w:lastRenderedPageBreak/>
        <w:t xml:space="preserve">Kocira, A., Staniak, M., Tomaszewska, M., Kornas, R., Cymerman, J., Panasiewicz, K., &amp; Lipińska, H. (2020). </w:t>
      </w:r>
      <w:r w:rsidRPr="00864757">
        <w:rPr>
          <w:rFonts w:ascii="Times New Roman" w:hAnsi="Times New Roman" w:cs="Times New Roman"/>
          <w:color w:val="000000" w:themeColor="text1"/>
          <w:lang w:val="en-GB"/>
        </w:rPr>
        <w:t xml:space="preserve">Legume Cover Crops as One of the Elements of Strategic Weed Management and Soil Quality Improvement. </w:t>
      </w:r>
      <w:r w:rsidRPr="00E47091">
        <w:rPr>
          <w:rFonts w:ascii="Times New Roman" w:hAnsi="Times New Roman" w:cs="Times New Roman"/>
          <w:color w:val="000000" w:themeColor="text1"/>
          <w:lang w:val="it"/>
        </w:rPr>
        <w:t>A Review. Agriculture. DOI:</w:t>
      </w:r>
      <w:r w:rsidRPr="00E47091">
        <w:rPr>
          <w:lang w:val="it"/>
        </w:rPr>
        <w:t xml:space="preserve"> </w:t>
      </w:r>
      <w:hyperlink r:id="rId30" w:history="1">
        <w:r w:rsidRPr="00E47091">
          <w:rPr>
            <w:rStyle w:val="Hyperlink"/>
            <w:rFonts w:ascii="Times New Roman" w:hAnsi="Times New Roman" w:cs="Times New Roman"/>
            <w:lang w:val="it"/>
          </w:rPr>
          <w:t>https://doi.org/10.3390/agriculture10090394</w:t>
        </w:r>
      </w:hyperlink>
      <w:r w:rsidRPr="00E47091">
        <w:rPr>
          <w:rFonts w:ascii="Times New Roman" w:hAnsi="Times New Roman" w:cs="Times New Roman"/>
          <w:color w:val="000000" w:themeColor="text1"/>
          <w:lang w:val="it"/>
        </w:rPr>
        <w:t>.</w:t>
      </w:r>
    </w:p>
    <w:p w14:paraId="07F3A691" w14:textId="0E81F9B7" w:rsidR="00AE11B5" w:rsidRPr="00E47091"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Sharma, P., Singh, A., Kahlon, C.S., Brar, A.S., Grover, K., Dia, M., &amp; Steiner, R.L. (2018). The Role of Cover Crops towards Sustainable Soil Health and Agriculture—A Review Paper. American Journal of Plant Sciences, 09, 1935-1951. DOI: </w:t>
      </w:r>
      <w:hyperlink r:id="rId31" w:history="1">
        <w:r w:rsidRPr="00864757">
          <w:rPr>
            <w:rStyle w:val="Hyperlink"/>
            <w:rFonts w:ascii="Times New Roman" w:hAnsi="Times New Roman" w:cs="Times New Roman"/>
            <w:lang w:val="en-GB"/>
          </w:rPr>
          <w:t>https://doi.org/10.4236/AJPS.2018.99140</w:t>
        </w:r>
      </w:hyperlink>
      <w:r w:rsidRPr="00864757">
        <w:rPr>
          <w:rFonts w:ascii="Times New Roman" w:hAnsi="Times New Roman" w:cs="Times New Roman"/>
          <w:color w:val="000000" w:themeColor="text1"/>
          <w:lang w:val="en-GB"/>
        </w:rPr>
        <w:t>.</w:t>
      </w:r>
    </w:p>
    <w:p w14:paraId="2949C080" w14:textId="77777777" w:rsidR="00B54C32" w:rsidRPr="00E47091"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Molles, M. C. (2016). Ecology: concepts and applications. Seventh edition. New York, NY, McGraw-Hill Education.</w:t>
      </w:r>
    </w:p>
    <w:p w14:paraId="0D6AAE58" w14:textId="77777777" w:rsidR="00A561D2" w:rsidRPr="00E47091" w:rsidRDefault="00A561D2"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Cunningham, W.P., and Cunningham</w:t>
      </w:r>
      <w:r w:rsidR="00B54C32" w:rsidRPr="00864757">
        <w:rPr>
          <w:rFonts w:ascii="Times New Roman" w:hAnsi="Times New Roman" w:cs="Times New Roman"/>
          <w:color w:val="000000" w:themeColor="text1"/>
          <w:lang w:val="en-GB"/>
        </w:rPr>
        <w:t>, M.A. (2002).</w:t>
      </w:r>
      <w:r w:rsidRPr="00864757">
        <w:rPr>
          <w:rFonts w:ascii="Times New Roman" w:hAnsi="Times New Roman" w:cs="Times New Roman"/>
          <w:color w:val="000000" w:themeColor="text1"/>
          <w:lang w:val="en-GB"/>
        </w:rPr>
        <w:t xml:space="preserve"> Principles of Environmental Science: Inquiry and Applications. </w:t>
      </w:r>
      <w:r w:rsidRPr="00E47091">
        <w:rPr>
          <w:rFonts w:ascii="Times New Roman" w:hAnsi="Times New Roman" w:cs="Times New Roman"/>
          <w:color w:val="000000" w:themeColor="text1"/>
          <w:lang w:val="it"/>
        </w:rPr>
        <w:t>McGraw-Hill.</w:t>
      </w:r>
    </w:p>
    <w:p w14:paraId="50AF1027" w14:textId="0CA233CB" w:rsidR="00B54C32" w:rsidRPr="00E47091"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Diekmann, M., Andres, C., Becker, T., Bennie, J.J., Blüml, V., Bullock, J.M., Culmsee, H., Fanigliulo, M., Hahn, A., Heinken, T., Leuschner, C., Luka, S., Meissner, J., Müller, J., Newton, A.C., Peppler‐Lisbach, C., Rosenthal, G., van den Berg, L.J., Vergeer, P., &amp; Wesche, K. (2019). Patterns of long‐term vegetation change vary between different types of semi‐natural grasslands in Western and Central Europe. </w:t>
      </w:r>
      <w:r w:rsidRPr="00E47091">
        <w:rPr>
          <w:rFonts w:ascii="Times New Roman" w:hAnsi="Times New Roman" w:cs="Times New Roman"/>
          <w:color w:val="000000" w:themeColor="text1"/>
          <w:lang w:val="it"/>
        </w:rPr>
        <w:t>Journal of Vegetation Science, 30, 187–202.</w:t>
      </w:r>
      <w:r w:rsidR="0000122B" w:rsidRPr="00E47091">
        <w:rPr>
          <w:rFonts w:ascii="Times New Roman" w:hAnsi="Times New Roman" w:cs="Times New Roman"/>
          <w:color w:val="000000" w:themeColor="text1"/>
          <w:lang w:val="it"/>
        </w:rPr>
        <w:t xml:space="preserve"> DOI:</w:t>
      </w:r>
      <w:r w:rsidR="0000122B" w:rsidRPr="00E47091">
        <w:rPr>
          <w:rFonts w:ascii="Times New Roman" w:hAnsi="Times New Roman" w:cs="Times New Roman"/>
          <w:lang w:val="it"/>
        </w:rPr>
        <w:t xml:space="preserve"> </w:t>
      </w:r>
      <w:hyperlink r:id="rId32" w:history="1">
        <w:r w:rsidR="0000122B" w:rsidRPr="00E47091">
          <w:rPr>
            <w:rStyle w:val="Hyperlink"/>
            <w:rFonts w:ascii="Times New Roman" w:hAnsi="Times New Roman" w:cs="Times New Roman"/>
            <w:lang w:val="it"/>
          </w:rPr>
          <w:t>https://doi.org/10.1111/jvs.12727</w:t>
        </w:r>
      </w:hyperlink>
      <w:r w:rsidR="0000122B" w:rsidRPr="00E47091">
        <w:rPr>
          <w:rFonts w:ascii="Times New Roman" w:hAnsi="Times New Roman" w:cs="Times New Roman"/>
          <w:color w:val="000000" w:themeColor="text1"/>
          <w:lang w:val="it"/>
        </w:rPr>
        <w:t>.</w:t>
      </w:r>
    </w:p>
    <w:p w14:paraId="670B8C1F" w14:textId="45A9A240" w:rsidR="0000122B" w:rsidRPr="00E47091" w:rsidRDefault="0000122B"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Medina-Álvarez, E., and Sánchez-Medina, P.S. (2023). Types of organizational culture and sustainability in ecotourism businesses in southern Mexico. Journal of Economics, Finance and Administrative Science. DOI: </w:t>
      </w:r>
      <w:hyperlink r:id="rId33" w:history="1">
        <w:r w:rsidRPr="00864757">
          <w:rPr>
            <w:rStyle w:val="Hyperlink"/>
            <w:rFonts w:ascii="Times New Roman" w:hAnsi="Times New Roman" w:cs="Times New Roman"/>
            <w:lang w:val="en-GB"/>
          </w:rPr>
          <w:t>https://doi.org/10.1108/jefas-12-2021-0267</w:t>
        </w:r>
      </w:hyperlink>
      <w:r w:rsidRPr="00864757">
        <w:rPr>
          <w:rFonts w:ascii="Times New Roman" w:hAnsi="Times New Roman" w:cs="Times New Roman"/>
          <w:color w:val="000000" w:themeColor="text1"/>
          <w:lang w:val="en-GB"/>
        </w:rPr>
        <w:t>.</w:t>
      </w:r>
    </w:p>
    <w:p w14:paraId="410B66F1" w14:textId="17C2513C" w:rsidR="00D33ED2" w:rsidRPr="00E47091" w:rsidRDefault="00D33ED2"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Johnson, K.L., Stone, W., Dominelli, L., Chivasa, S., Clarke, C.E., Gwandu, T., &amp; Appleby, J. (2023). Boosting soil literacy in schools can help improve understanding of soil/human health linkages in Generation Z. Frontiers in Environmental Science, vol. 10, 1-12. </w:t>
      </w:r>
      <w:r w:rsidRPr="00E47091">
        <w:rPr>
          <w:rFonts w:ascii="Times New Roman" w:hAnsi="Times New Roman" w:cs="Times New Roman"/>
          <w:color w:val="000000" w:themeColor="text1"/>
          <w:lang w:val="it"/>
        </w:rPr>
        <w:t xml:space="preserve">DOI: </w:t>
      </w:r>
      <w:hyperlink r:id="rId34" w:history="1">
        <w:r w:rsidRPr="00E47091">
          <w:rPr>
            <w:rStyle w:val="Hyperlink"/>
            <w:rFonts w:ascii="Times New Roman" w:hAnsi="Times New Roman" w:cs="Times New Roman"/>
            <w:lang w:val="it"/>
          </w:rPr>
          <w:t>https://doi.org/10.3389/fenvs.2022.1028839</w:t>
        </w:r>
      </w:hyperlink>
      <w:r w:rsidRPr="00E47091">
        <w:rPr>
          <w:rFonts w:ascii="Times New Roman" w:hAnsi="Times New Roman" w:cs="Times New Roman"/>
          <w:color w:val="000000" w:themeColor="text1"/>
          <w:lang w:val="it"/>
        </w:rPr>
        <w:t>.</w:t>
      </w:r>
    </w:p>
    <w:p w14:paraId="6D78F1AE" w14:textId="77777777" w:rsidR="00CB0D6C" w:rsidRPr="00E47091" w:rsidRDefault="00CB0D6C"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Levy, R. (2023). Home–school communication: what we have learned from the pandemic. </w:t>
      </w:r>
      <w:r w:rsidRPr="00E47091">
        <w:rPr>
          <w:rFonts w:ascii="Times New Roman" w:hAnsi="Times New Roman" w:cs="Times New Roman"/>
          <w:color w:val="000000" w:themeColor="text1"/>
          <w:lang w:val="it"/>
        </w:rPr>
        <w:t xml:space="preserve">Education 3-13, 52(1), 21–32. </w:t>
      </w:r>
      <w:hyperlink r:id="rId35" w:history="1">
        <w:r w:rsidR="006F7FFC" w:rsidRPr="00E47091">
          <w:rPr>
            <w:rStyle w:val="Hyperlink"/>
            <w:rFonts w:ascii="Times New Roman" w:hAnsi="Times New Roman" w:cs="Times New Roman"/>
            <w:lang w:val="it"/>
          </w:rPr>
          <w:t>https://doi.org/10.1080/03004279.2023.2186972</w:t>
        </w:r>
      </w:hyperlink>
    </w:p>
    <w:p w14:paraId="53DCA103" w14:textId="3172D9E0" w:rsidR="006F7FFC" w:rsidRPr="00E47091" w:rsidRDefault="006F7FFC"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Social and Behaviour Change Communication</w:t>
      </w:r>
      <w:r w:rsidR="002841B1" w:rsidRPr="00864757">
        <w:rPr>
          <w:rFonts w:ascii="Times New Roman" w:hAnsi="Times New Roman" w:cs="Times New Roman"/>
          <w:color w:val="000000" w:themeColor="text1"/>
          <w:lang w:val="en-GB"/>
        </w:rPr>
        <w:t xml:space="preserve"> (UNICEF). Designing holistic and data-driven communications to enable change. </w:t>
      </w:r>
      <w:hyperlink r:id="rId36" w:history="1">
        <w:r w:rsidR="002841B1" w:rsidRPr="00864757">
          <w:rPr>
            <w:rStyle w:val="Hyperlink"/>
            <w:rFonts w:ascii="Times New Roman" w:hAnsi="Times New Roman" w:cs="Times New Roman"/>
            <w:lang w:val="en-GB"/>
          </w:rPr>
          <w:t>https://www.sbcguidance.org/understand/social-and-behaviour-change-communication</w:t>
        </w:r>
      </w:hyperlink>
      <w:r w:rsidR="002841B1" w:rsidRPr="00864757">
        <w:rPr>
          <w:rFonts w:ascii="Times New Roman" w:hAnsi="Times New Roman" w:cs="Times New Roman"/>
          <w:color w:val="000000" w:themeColor="text1"/>
          <w:lang w:val="en-GB"/>
        </w:rPr>
        <w:t xml:space="preserve"> (Acce</w:t>
      </w:r>
      <w:r w:rsidR="0000609E" w:rsidRPr="00864757">
        <w:rPr>
          <w:rFonts w:ascii="Times New Roman" w:hAnsi="Times New Roman" w:cs="Times New Roman"/>
          <w:color w:val="000000" w:themeColor="text1"/>
          <w:lang w:val="en-GB"/>
        </w:rPr>
        <w:t>s</w:t>
      </w:r>
      <w:r w:rsidR="002841B1" w:rsidRPr="00864757">
        <w:rPr>
          <w:rFonts w:ascii="Times New Roman" w:hAnsi="Times New Roman" w:cs="Times New Roman"/>
          <w:color w:val="000000" w:themeColor="text1"/>
          <w:lang w:val="en-GB"/>
        </w:rPr>
        <w:t>sed: 23.10.2024)</w:t>
      </w:r>
    </w:p>
    <w:p w14:paraId="5219D338" w14:textId="7C3FC629" w:rsidR="002841B1" w:rsidRPr="00E47091" w:rsidRDefault="002841B1" w:rsidP="00AE11B5">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Crawfoord, J. (2021).</w:t>
      </w:r>
      <w:r w:rsidRPr="00864757">
        <w:rPr>
          <w:rFonts w:ascii="Times New Roman" w:hAnsi="Times New Roman" w:cs="Times New Roman"/>
          <w:lang w:val="en-GB"/>
        </w:rPr>
        <w:t xml:space="preserve"> </w:t>
      </w:r>
      <w:r w:rsidR="00AD37EC" w:rsidRPr="00864757">
        <w:rPr>
          <w:rFonts w:ascii="Times New Roman" w:hAnsi="Times New Roman" w:cs="Times New Roman"/>
          <w:lang w:val="en-GB"/>
        </w:rPr>
        <w:t>1</w:t>
      </w:r>
      <w:r w:rsidRPr="00864757">
        <w:rPr>
          <w:rFonts w:ascii="Times New Roman" w:hAnsi="Times New Roman" w:cs="Times New Roman"/>
          <w:color w:val="000000" w:themeColor="text1"/>
          <w:lang w:val="en-GB"/>
        </w:rPr>
        <w:t xml:space="preserve">0 </w:t>
      </w:r>
      <w:r w:rsidR="0000609E" w:rsidRPr="00864757">
        <w:rPr>
          <w:rFonts w:ascii="Times New Roman" w:hAnsi="Times New Roman" w:cs="Times New Roman"/>
          <w:color w:val="000000" w:themeColor="text1"/>
          <w:lang w:val="en-GB"/>
        </w:rPr>
        <w:t>new</w:t>
      </w:r>
      <w:r w:rsidRPr="00864757">
        <w:rPr>
          <w:rFonts w:ascii="Times New Roman" w:hAnsi="Times New Roman" w:cs="Times New Roman"/>
          <w:color w:val="000000" w:themeColor="text1"/>
          <w:lang w:val="en-GB"/>
        </w:rPr>
        <w:t xml:space="preserve"> </w:t>
      </w:r>
      <w:r w:rsidR="00AD37EC" w:rsidRPr="00864757">
        <w:rPr>
          <w:rFonts w:ascii="Times New Roman" w:hAnsi="Times New Roman" w:cs="Times New Roman"/>
          <w:color w:val="000000" w:themeColor="text1"/>
          <w:lang w:val="en-GB"/>
        </w:rPr>
        <w:t>w</w:t>
      </w:r>
      <w:r w:rsidRPr="00864757">
        <w:rPr>
          <w:rFonts w:ascii="Times New Roman" w:hAnsi="Times New Roman" w:cs="Times New Roman"/>
          <w:color w:val="000000" w:themeColor="text1"/>
          <w:lang w:val="en-GB"/>
        </w:rPr>
        <w:t xml:space="preserve">ays to </w:t>
      </w:r>
      <w:r w:rsidR="00AD37EC" w:rsidRPr="00864757">
        <w:rPr>
          <w:rFonts w:ascii="Times New Roman" w:hAnsi="Times New Roman" w:cs="Times New Roman"/>
          <w:color w:val="000000" w:themeColor="text1"/>
          <w:lang w:val="en-GB"/>
        </w:rPr>
        <w:t>c</w:t>
      </w:r>
      <w:r w:rsidRPr="00864757">
        <w:rPr>
          <w:rFonts w:ascii="Times New Roman" w:hAnsi="Times New Roman" w:cs="Times New Roman"/>
          <w:color w:val="000000" w:themeColor="text1"/>
          <w:lang w:val="en-GB"/>
        </w:rPr>
        <w:t xml:space="preserve">ommunicate in </w:t>
      </w:r>
      <w:r w:rsidR="00AD37EC" w:rsidRPr="00864757">
        <w:rPr>
          <w:rFonts w:ascii="Times New Roman" w:hAnsi="Times New Roman" w:cs="Times New Roman"/>
          <w:color w:val="000000" w:themeColor="text1"/>
          <w:lang w:val="en-GB"/>
        </w:rPr>
        <w:t>t</w:t>
      </w:r>
      <w:r w:rsidRPr="00864757">
        <w:rPr>
          <w:rFonts w:ascii="Times New Roman" w:hAnsi="Times New Roman" w:cs="Times New Roman"/>
          <w:color w:val="000000" w:themeColor="text1"/>
          <w:lang w:val="en-GB"/>
        </w:rPr>
        <w:t xml:space="preserve">he </w:t>
      </w:r>
      <w:r w:rsidR="00AD37EC" w:rsidRPr="00864757">
        <w:rPr>
          <w:rFonts w:ascii="Times New Roman" w:hAnsi="Times New Roman" w:cs="Times New Roman"/>
          <w:color w:val="000000" w:themeColor="text1"/>
          <w:lang w:val="en-GB"/>
        </w:rPr>
        <w:t>a</w:t>
      </w:r>
      <w:r w:rsidRPr="00864757">
        <w:rPr>
          <w:rFonts w:ascii="Times New Roman" w:hAnsi="Times New Roman" w:cs="Times New Roman"/>
          <w:color w:val="000000" w:themeColor="text1"/>
          <w:lang w:val="en-GB"/>
        </w:rPr>
        <w:t xml:space="preserve">ge </w:t>
      </w:r>
      <w:r w:rsidR="00AD37EC" w:rsidRPr="00864757">
        <w:rPr>
          <w:rFonts w:ascii="Times New Roman" w:hAnsi="Times New Roman" w:cs="Times New Roman"/>
          <w:color w:val="000000" w:themeColor="text1"/>
          <w:lang w:val="en-GB"/>
        </w:rPr>
        <w:t>o</w:t>
      </w:r>
      <w:r w:rsidRPr="00864757">
        <w:rPr>
          <w:rFonts w:ascii="Times New Roman" w:hAnsi="Times New Roman" w:cs="Times New Roman"/>
          <w:color w:val="000000" w:themeColor="text1"/>
          <w:lang w:val="en-GB"/>
        </w:rPr>
        <w:t xml:space="preserve">f </w:t>
      </w:r>
      <w:r w:rsidR="00AD37EC" w:rsidRPr="00864757">
        <w:rPr>
          <w:rFonts w:ascii="Times New Roman" w:hAnsi="Times New Roman" w:cs="Times New Roman"/>
          <w:color w:val="000000" w:themeColor="text1"/>
          <w:lang w:val="en-GB"/>
        </w:rPr>
        <w:t>d</w:t>
      </w:r>
      <w:r w:rsidRPr="00864757">
        <w:rPr>
          <w:rFonts w:ascii="Times New Roman" w:hAnsi="Times New Roman" w:cs="Times New Roman"/>
          <w:color w:val="000000" w:themeColor="text1"/>
          <w:lang w:val="en-GB"/>
        </w:rPr>
        <w:t xml:space="preserve">igital </w:t>
      </w:r>
      <w:r w:rsidR="00AD37EC" w:rsidRPr="00864757">
        <w:rPr>
          <w:rFonts w:ascii="Times New Roman" w:hAnsi="Times New Roman" w:cs="Times New Roman"/>
          <w:color w:val="000000" w:themeColor="text1"/>
          <w:lang w:val="en-GB"/>
        </w:rPr>
        <w:t>t</w:t>
      </w:r>
      <w:r w:rsidRPr="00864757">
        <w:rPr>
          <w:rFonts w:ascii="Times New Roman" w:hAnsi="Times New Roman" w:cs="Times New Roman"/>
          <w:color w:val="000000" w:themeColor="text1"/>
          <w:lang w:val="en-GB"/>
        </w:rPr>
        <w:t xml:space="preserve">echnology. </w:t>
      </w:r>
      <w:hyperlink r:id="rId37" w:history="1">
        <w:r w:rsidRPr="00864757">
          <w:rPr>
            <w:rStyle w:val="Hyperlink"/>
            <w:rFonts w:ascii="Times New Roman" w:hAnsi="Times New Roman" w:cs="Times New Roman"/>
            <w:lang w:val="en-GB"/>
          </w:rPr>
          <w:t>https://techresearchonline.com/blog/10-new-ways-to-communicate-digitally-age-of-digital-technology/</w:t>
        </w:r>
      </w:hyperlink>
      <w:r w:rsidRPr="00864757">
        <w:rPr>
          <w:rFonts w:ascii="Times New Roman" w:hAnsi="Times New Roman" w:cs="Times New Roman"/>
          <w:color w:val="000000" w:themeColor="text1"/>
          <w:lang w:val="en-GB"/>
        </w:rPr>
        <w:t xml:space="preserve"> (</w:t>
      </w:r>
      <w:bookmarkStart w:id="4" w:name="_Hlk180708377"/>
      <w:r w:rsidRPr="00864757">
        <w:rPr>
          <w:rFonts w:ascii="Times New Roman" w:hAnsi="Times New Roman" w:cs="Times New Roman"/>
          <w:color w:val="000000" w:themeColor="text1"/>
          <w:lang w:val="en-GB"/>
        </w:rPr>
        <w:t>Acces</w:t>
      </w:r>
      <w:r w:rsidR="0000609E" w:rsidRPr="00864757">
        <w:rPr>
          <w:rFonts w:ascii="Times New Roman" w:hAnsi="Times New Roman" w:cs="Times New Roman"/>
          <w:color w:val="000000" w:themeColor="text1"/>
          <w:lang w:val="en-GB"/>
        </w:rPr>
        <w:t>s</w:t>
      </w:r>
      <w:r w:rsidRPr="00864757">
        <w:rPr>
          <w:rFonts w:ascii="Times New Roman" w:hAnsi="Times New Roman" w:cs="Times New Roman"/>
          <w:color w:val="000000" w:themeColor="text1"/>
          <w:lang w:val="en-GB"/>
        </w:rPr>
        <w:t>ed: 23.10.2024</w:t>
      </w:r>
      <w:bookmarkEnd w:id="4"/>
      <w:r w:rsidRPr="00864757">
        <w:rPr>
          <w:rFonts w:ascii="Times New Roman" w:hAnsi="Times New Roman" w:cs="Times New Roman"/>
          <w:color w:val="000000" w:themeColor="text1"/>
          <w:lang w:val="en-GB"/>
        </w:rPr>
        <w:t>)</w:t>
      </w:r>
      <w:r w:rsidR="000666CF" w:rsidRPr="00864757">
        <w:rPr>
          <w:rFonts w:ascii="Times New Roman" w:hAnsi="Times New Roman" w:cs="Times New Roman"/>
          <w:color w:val="000000" w:themeColor="text1"/>
          <w:lang w:val="en-GB"/>
        </w:rPr>
        <w:t>.</w:t>
      </w:r>
    </w:p>
    <w:p w14:paraId="43C8F119" w14:textId="14B3386D" w:rsidR="00BE5454" w:rsidRPr="00E47091" w:rsidRDefault="00BE5454" w:rsidP="00AE11B5">
      <w:pPr>
        <w:pStyle w:val="ListParagraph"/>
        <w:numPr>
          <w:ilvl w:val="0"/>
          <w:numId w:val="1"/>
        </w:numPr>
        <w:ind w:left="426" w:hanging="426"/>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lang w:val="it-IT"/>
        </w:rPr>
        <w:t xml:space="preserve">Chandler, E., Ignagni, E., &amp; Collins, K. (2021). </w:t>
      </w:r>
      <w:r w:rsidRPr="00864757">
        <w:rPr>
          <w:rFonts w:ascii="Times New Roman" w:hAnsi="Times New Roman" w:cs="Times New Roman"/>
          <w:color w:val="000000" w:themeColor="text1"/>
          <w:lang w:val="en-GB"/>
        </w:rPr>
        <w:t>Communicating access, accessing</w:t>
      </w:r>
      <w:r w:rsidR="003036C6" w:rsidRPr="00864757">
        <w:rPr>
          <w:rFonts w:ascii="Times New Roman" w:hAnsi="Times New Roman" w:cs="Times New Roman"/>
          <w:color w:val="000000" w:themeColor="text1"/>
          <w:lang w:val="en-GB"/>
        </w:rPr>
        <w:t xml:space="preserve"> </w:t>
      </w:r>
      <w:r w:rsidRPr="00864757">
        <w:rPr>
          <w:rFonts w:ascii="Times New Roman" w:hAnsi="Times New Roman" w:cs="Times New Roman"/>
          <w:color w:val="000000" w:themeColor="text1"/>
          <w:lang w:val="en-GB"/>
        </w:rPr>
        <w:t>communication. Studies in Social Justice, 15(2), 230-238.</w:t>
      </w:r>
      <w:r w:rsidRPr="00864757">
        <w:rPr>
          <w:lang w:val="en-GB"/>
        </w:rPr>
        <w:t xml:space="preserve"> </w:t>
      </w:r>
      <w:hyperlink r:id="rId38" w:history="1">
        <w:r w:rsidRPr="00E47091">
          <w:rPr>
            <w:rStyle w:val="Hyperlink"/>
            <w:rFonts w:ascii="Times New Roman" w:hAnsi="Times New Roman" w:cs="Times New Roman"/>
            <w:lang w:val="it"/>
          </w:rPr>
          <w:t>https://doi.org/10.26522/ssj.v15i2.2657</w:t>
        </w:r>
      </w:hyperlink>
      <w:r w:rsidRPr="00E47091">
        <w:rPr>
          <w:rFonts w:ascii="Times New Roman" w:hAnsi="Times New Roman" w:cs="Times New Roman"/>
          <w:color w:val="000000" w:themeColor="text1"/>
          <w:lang w:val="it"/>
        </w:rPr>
        <w:t>.</w:t>
      </w:r>
    </w:p>
    <w:p w14:paraId="0ED61930" w14:textId="3A8867F8" w:rsidR="00392C41" w:rsidRPr="00E47091"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hyperlink r:id="rId39" w:history="1">
        <w:r w:rsidRPr="00864757">
          <w:rPr>
            <w:rStyle w:val="Hyperlink"/>
            <w:rFonts w:ascii="Times New Roman" w:hAnsi="Times New Roman" w:cs="Times New Roman"/>
            <w:lang w:val="en-GB"/>
          </w:rPr>
          <w:t>https://www.oed.com/search/dictionary</w:t>
        </w:r>
      </w:hyperlink>
    </w:p>
    <w:p w14:paraId="4690F664" w14:textId="77777777" w:rsidR="00392C41" w:rsidRPr="00E47091"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Trevithick, PA. (2000). Social Work Skills: A Practice Handbook. </w:t>
      </w:r>
      <w:r w:rsidRPr="00E47091">
        <w:rPr>
          <w:rFonts w:ascii="Times New Roman" w:hAnsi="Times New Roman" w:cs="Times New Roman"/>
          <w:color w:val="000000" w:themeColor="text1"/>
          <w:lang w:val="it"/>
        </w:rPr>
        <w:t>Open University Press.</w:t>
      </w:r>
    </w:p>
    <w:p w14:paraId="42493DC2" w14:textId="5F2A7E35" w:rsidR="000666CF" w:rsidRPr="00E47091" w:rsidRDefault="000666CF" w:rsidP="00392C41">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World Health Organisation (2011). World Report on Disability 2011.</w:t>
      </w:r>
      <w:r w:rsidRPr="00864757">
        <w:rPr>
          <w:lang w:val="en-GB"/>
        </w:rPr>
        <w:t xml:space="preserve"> </w:t>
      </w:r>
      <w:hyperlink r:id="rId40" w:history="1">
        <w:r w:rsidRPr="00E47091">
          <w:rPr>
            <w:rStyle w:val="Hyperlink"/>
            <w:rFonts w:ascii="Times New Roman" w:hAnsi="Times New Roman" w:cs="Times New Roman"/>
          </w:rPr>
          <w:t>https://www.who.int/teams/noncommunicable-diseases/sensory-functions-disability-and-rehabilitation/world-report-on-disability</w:t>
        </w:r>
      </w:hyperlink>
      <w:r w:rsidRPr="00E47091">
        <w:rPr>
          <w:rFonts w:ascii="Times New Roman" w:hAnsi="Times New Roman" w:cs="Times New Roman"/>
          <w:color w:val="000000" w:themeColor="text1"/>
        </w:rPr>
        <w:t xml:space="preserve">. </w:t>
      </w:r>
      <w:r w:rsidRPr="00E47091">
        <w:rPr>
          <w:rFonts w:ascii="Times New Roman" w:hAnsi="Times New Roman" w:cs="Times New Roman"/>
          <w:color w:val="000000" w:themeColor="text1"/>
          <w:lang w:val="it"/>
        </w:rPr>
        <w:t>(Acce</w:t>
      </w:r>
      <w:r w:rsidR="0000609E" w:rsidRPr="00E47091">
        <w:rPr>
          <w:rFonts w:ascii="Times New Roman" w:hAnsi="Times New Roman" w:cs="Times New Roman"/>
          <w:color w:val="000000" w:themeColor="text1"/>
          <w:lang w:val="it"/>
        </w:rPr>
        <w:t>s</w:t>
      </w:r>
      <w:r w:rsidRPr="00E47091">
        <w:rPr>
          <w:rFonts w:ascii="Times New Roman" w:hAnsi="Times New Roman" w:cs="Times New Roman"/>
          <w:color w:val="000000" w:themeColor="text1"/>
          <w:lang w:val="it"/>
        </w:rPr>
        <w:t>sed: 23.10.2024).</w:t>
      </w:r>
    </w:p>
    <w:p w14:paraId="39E51A01" w14:textId="1E1D253E" w:rsidR="00B6198C" w:rsidRPr="00E47091" w:rsidRDefault="00B6198C" w:rsidP="00AE2113">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What is transdisciplinary research, Utrecht University. </w:t>
      </w:r>
      <w:hyperlink r:id="rId41" w:history="1">
        <w:r w:rsidRPr="00864757">
          <w:rPr>
            <w:rStyle w:val="Hyperlink"/>
            <w:rFonts w:ascii="Times New Roman" w:hAnsi="Times New Roman" w:cs="Times New Roman"/>
            <w:lang w:val="en-GB"/>
          </w:rPr>
          <w:t>https://www.uu.nl/en/research/transdisciplinary-field-guide/get-started/what-is-transdisciplinary-research</w:t>
        </w:r>
      </w:hyperlink>
      <w:r w:rsidRPr="00864757">
        <w:rPr>
          <w:rFonts w:ascii="Times New Roman" w:hAnsi="Times New Roman" w:cs="Times New Roman"/>
          <w:color w:val="000000" w:themeColor="text1"/>
          <w:lang w:val="en-GB"/>
        </w:rPr>
        <w:t xml:space="preserve"> (Acce</w:t>
      </w:r>
      <w:r w:rsidR="0000609E" w:rsidRPr="00864757">
        <w:rPr>
          <w:rFonts w:ascii="Times New Roman" w:hAnsi="Times New Roman" w:cs="Times New Roman"/>
          <w:color w:val="000000" w:themeColor="text1"/>
          <w:lang w:val="en-GB"/>
        </w:rPr>
        <w:t>s</w:t>
      </w:r>
      <w:r w:rsidRPr="00864757">
        <w:rPr>
          <w:rFonts w:ascii="Times New Roman" w:hAnsi="Times New Roman" w:cs="Times New Roman"/>
          <w:color w:val="000000" w:themeColor="text1"/>
          <w:lang w:val="en-GB"/>
        </w:rPr>
        <w:t>sed: 23.10.2024).</w:t>
      </w:r>
    </w:p>
    <w:p w14:paraId="65A56D86" w14:textId="42BF246C" w:rsidR="00AE2113" w:rsidRPr="00E47091" w:rsidRDefault="003036C6" w:rsidP="00AE2113">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Newell, W. H. (2001). A Theory of Interdisciplinary Studies. Issues in Integrative Studies, 19, 1-24.</w:t>
      </w:r>
      <w:r w:rsidRPr="00864757">
        <w:rPr>
          <w:lang w:val="en-GB"/>
        </w:rPr>
        <w:t xml:space="preserve"> </w:t>
      </w:r>
      <w:hyperlink r:id="rId42" w:history="1">
        <w:r w:rsidRPr="00864757">
          <w:rPr>
            <w:rStyle w:val="Hyperlink"/>
            <w:rFonts w:ascii="Times New Roman" w:hAnsi="Times New Roman" w:cs="Times New Roman"/>
            <w:lang w:val="en-GB"/>
          </w:rPr>
          <w:t>https://web.mit.edu/jrankin/www/interdisciplinary/interdisc_Newell.pdf</w:t>
        </w:r>
      </w:hyperlink>
      <w:r w:rsidRPr="00864757">
        <w:rPr>
          <w:rFonts w:ascii="Times New Roman" w:hAnsi="Times New Roman" w:cs="Times New Roman"/>
          <w:color w:val="000000" w:themeColor="text1"/>
          <w:lang w:val="en-GB"/>
        </w:rPr>
        <w:t>.</w:t>
      </w:r>
    </w:p>
    <w:p w14:paraId="531C33A4" w14:textId="1CC3CBA1" w:rsidR="003036C6" w:rsidRPr="00E47091" w:rsidRDefault="00AE2113" w:rsidP="00AE2113">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Resh, H.M. and Howard, M. (2012)</w:t>
      </w:r>
      <w:r w:rsidR="00430B8F" w:rsidRPr="00864757">
        <w:rPr>
          <w:rFonts w:ascii="Times New Roman" w:hAnsi="Times New Roman" w:cs="Times New Roman"/>
          <w:color w:val="000000" w:themeColor="text1"/>
          <w:lang w:val="en-GB"/>
        </w:rPr>
        <w:t>.</w:t>
      </w:r>
      <w:r w:rsidRPr="00864757">
        <w:rPr>
          <w:rFonts w:ascii="Times New Roman" w:hAnsi="Times New Roman" w:cs="Times New Roman"/>
          <w:color w:val="000000" w:themeColor="text1"/>
          <w:lang w:val="en-GB"/>
        </w:rPr>
        <w:t xml:space="preserve"> Hydroponic Food Production: A Definitive Guidebook for the Advanced Home Gardener and the Commercial Hydroponic Grower. </w:t>
      </w:r>
      <w:r w:rsidRPr="00E47091">
        <w:rPr>
          <w:rFonts w:ascii="Times New Roman" w:hAnsi="Times New Roman" w:cs="Times New Roman"/>
          <w:color w:val="000000" w:themeColor="text1"/>
          <w:lang w:val="it"/>
        </w:rPr>
        <w:t>CRC Press, Santa Barbara, California.</w:t>
      </w:r>
      <w:r w:rsidR="00430B8F" w:rsidRPr="00E47091">
        <w:rPr>
          <w:rFonts w:ascii="Times New Roman" w:hAnsi="Times New Roman" w:cs="Times New Roman"/>
          <w:color w:val="000000" w:themeColor="text1"/>
          <w:lang w:val="it"/>
        </w:rPr>
        <w:t xml:space="preserve"> DOI: </w:t>
      </w:r>
      <w:hyperlink r:id="rId43" w:history="1">
        <w:r w:rsidR="00430B8F" w:rsidRPr="00E47091">
          <w:rPr>
            <w:rStyle w:val="Hyperlink"/>
            <w:rFonts w:ascii="Times New Roman" w:hAnsi="Times New Roman" w:cs="Times New Roman"/>
            <w:lang w:val="it"/>
          </w:rPr>
          <w:t>http://dx.doi.org/10.1201/b12500</w:t>
        </w:r>
      </w:hyperlink>
      <w:r w:rsidR="00430B8F" w:rsidRPr="00E47091">
        <w:rPr>
          <w:rFonts w:ascii="Times New Roman" w:hAnsi="Times New Roman" w:cs="Times New Roman"/>
          <w:color w:val="000000" w:themeColor="text1"/>
          <w:lang w:val="it"/>
        </w:rPr>
        <w:t>.</w:t>
      </w:r>
    </w:p>
    <w:p w14:paraId="711FCFB3" w14:textId="1DB56EC7" w:rsidR="00BD4C94" w:rsidRPr="00E47091" w:rsidRDefault="00B43EA9" w:rsidP="00BD4C94">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Adriano, D. C. (2001). Trace Elements in Terrestrial Environments: Biogeochemistry, Bioavailability, and Risks of Metals. </w:t>
      </w:r>
      <w:r w:rsidRPr="00E47091">
        <w:rPr>
          <w:rFonts w:ascii="Times New Roman" w:hAnsi="Times New Roman" w:cs="Times New Roman"/>
          <w:color w:val="000000" w:themeColor="text1"/>
          <w:lang w:val="it"/>
        </w:rPr>
        <w:t>Springer.</w:t>
      </w:r>
    </w:p>
    <w:p w14:paraId="7BF5F264" w14:textId="54678D14" w:rsidR="00DB0D05" w:rsidRPr="00E47091" w:rsidRDefault="00BD4C94" w:rsidP="00BD4C94">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lastRenderedPageBreak/>
        <w:t xml:space="preserve">Gupta, P.K., Goel, M. (2021). Environmental Tracers and Isotopic Techniques: Tools for Sustainable Water Management. In: Adhikary, P.P., Shit, P.K., Santra, P., Bhunia, G.S., Tiwari, A.K., Chaudhary, B.S. (eds) Geostatistics and Geospatial Technologies for Groundwater Resources in India. </w:t>
      </w:r>
      <w:r w:rsidRPr="00E47091">
        <w:rPr>
          <w:rFonts w:ascii="Times New Roman" w:hAnsi="Times New Roman" w:cs="Times New Roman"/>
          <w:color w:val="000000" w:themeColor="text1"/>
          <w:lang w:val="it"/>
        </w:rPr>
        <w:t xml:space="preserve">Springer Hydrogeology. Springer, Cham. </w:t>
      </w:r>
      <w:hyperlink r:id="rId44" w:history="1">
        <w:r w:rsidRPr="00E47091">
          <w:rPr>
            <w:rStyle w:val="Hyperlink"/>
            <w:rFonts w:ascii="Times New Roman" w:hAnsi="Times New Roman" w:cs="Times New Roman"/>
            <w:lang w:val="it"/>
          </w:rPr>
          <w:t>https://doi.org/10.1007/978-3-030-62397-5_26</w:t>
        </w:r>
      </w:hyperlink>
      <w:r w:rsidRPr="00E47091">
        <w:rPr>
          <w:rFonts w:ascii="Times New Roman" w:hAnsi="Times New Roman" w:cs="Times New Roman"/>
          <w:color w:val="000000" w:themeColor="text1"/>
          <w:lang w:val="it"/>
        </w:rPr>
        <w:t>.</w:t>
      </w:r>
    </w:p>
    <w:p w14:paraId="66A2EBC2" w14:textId="6CFCFA24" w:rsidR="0039340A" w:rsidRPr="00E47091" w:rsidRDefault="009F6001" w:rsidP="0039340A">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Scholz, R.W. (2020). Transdisciplinarity: science for and with society in light of the university’s roles and functions. </w:t>
      </w:r>
      <w:r w:rsidRPr="00E47091">
        <w:rPr>
          <w:rFonts w:ascii="Times New Roman" w:hAnsi="Times New Roman" w:cs="Times New Roman"/>
          <w:color w:val="000000" w:themeColor="text1"/>
          <w:lang w:val="it"/>
        </w:rPr>
        <w:t xml:space="preserve">Sustain Sci 15, 1033–1049.DOI: </w:t>
      </w:r>
      <w:hyperlink r:id="rId45" w:history="1">
        <w:r w:rsidRPr="00E47091">
          <w:rPr>
            <w:rStyle w:val="Hyperlink"/>
            <w:rFonts w:ascii="Times New Roman" w:hAnsi="Times New Roman" w:cs="Times New Roman"/>
            <w:lang w:val="it"/>
          </w:rPr>
          <w:t>https://doi.org/10.1007/s11625-020-00794-x</w:t>
        </w:r>
      </w:hyperlink>
      <w:r w:rsidRPr="00E47091">
        <w:rPr>
          <w:rFonts w:ascii="Times New Roman" w:hAnsi="Times New Roman" w:cs="Times New Roman"/>
          <w:color w:val="000000" w:themeColor="text1"/>
          <w:lang w:val="it"/>
        </w:rPr>
        <w:t>.</w:t>
      </w:r>
    </w:p>
    <w:p w14:paraId="7A8BC84A" w14:textId="401531A9" w:rsidR="0039340A" w:rsidRPr="00E47091" w:rsidRDefault="0039340A" w:rsidP="0039340A">
      <w:pPr>
        <w:pStyle w:val="ListParagraph"/>
        <w:numPr>
          <w:ilvl w:val="0"/>
          <w:numId w:val="1"/>
        </w:numPr>
        <w:ind w:left="426" w:hanging="426"/>
        <w:jc w:val="both"/>
        <w:rPr>
          <w:rFonts w:ascii="Times New Roman" w:hAnsi="Times New Roman" w:cs="Times New Roman"/>
          <w:color w:val="000000" w:themeColor="text1"/>
          <w:lang w:val="pt-BR"/>
        </w:rPr>
      </w:pPr>
      <w:r w:rsidRPr="00864757">
        <w:rPr>
          <w:rFonts w:ascii="Times New Roman" w:hAnsi="Times New Roman" w:cs="Times New Roman"/>
          <w:color w:val="000000" w:themeColor="text1"/>
          <w:lang w:val="en-GB"/>
        </w:rPr>
        <w:t xml:space="preserve">Solomon, G.E., Carley, S., Porter, A.L. (2016) How Multidisciplinary Are the Multidisciplinary Journals Science and Nature? </w:t>
      </w:r>
      <w:r w:rsidRPr="00E47091">
        <w:rPr>
          <w:rFonts w:ascii="Times New Roman" w:hAnsi="Times New Roman" w:cs="Times New Roman"/>
          <w:color w:val="000000" w:themeColor="text1"/>
          <w:lang w:val="pt-BR"/>
        </w:rPr>
        <w:t xml:space="preserve">PLoS One. Apr 4;11(4):e0152637. DOI: </w:t>
      </w:r>
      <w:hyperlink r:id="rId46" w:history="1">
        <w:r w:rsidRPr="00E47091">
          <w:rPr>
            <w:rStyle w:val="Hyperlink"/>
            <w:rFonts w:ascii="Times New Roman" w:hAnsi="Times New Roman" w:cs="Times New Roman"/>
            <w:lang w:val="pt-BR"/>
          </w:rPr>
          <w:t>https://doi.org/10.1371/journal.pone.0152637</w:t>
        </w:r>
      </w:hyperlink>
      <w:r w:rsidRPr="00E47091">
        <w:rPr>
          <w:rFonts w:ascii="Times New Roman" w:hAnsi="Times New Roman" w:cs="Times New Roman"/>
          <w:color w:val="000000" w:themeColor="text1"/>
          <w:lang w:val="pt-BR"/>
        </w:rPr>
        <w:t>.</w:t>
      </w:r>
    </w:p>
    <w:p w14:paraId="3F05DC8B" w14:textId="0E1FED4A" w:rsidR="00A80812" w:rsidRPr="00E47091" w:rsidRDefault="00A80812" w:rsidP="3C5DB29E">
      <w:pPr>
        <w:pStyle w:val="ListParagraph"/>
        <w:numPr>
          <w:ilvl w:val="0"/>
          <w:numId w:val="1"/>
        </w:numPr>
        <w:ind w:left="426" w:hanging="426"/>
        <w:jc w:val="both"/>
        <w:rPr>
          <w:rFonts w:ascii="Times New Roman" w:hAnsi="Times New Roman" w:cs="Times New Roman"/>
          <w:color w:val="000000" w:themeColor="text1"/>
        </w:rPr>
      </w:pPr>
      <w:r w:rsidRPr="00864757">
        <w:rPr>
          <w:rFonts w:ascii="Times New Roman" w:hAnsi="Times New Roman" w:cs="Times New Roman"/>
          <w:color w:val="545454"/>
          <w:shd w:val="clear" w:color="auto" w:fill="FFFFFF"/>
          <w:lang w:val="en-GB"/>
        </w:rPr>
        <w:t xml:space="preserve">FAO. </w:t>
      </w:r>
      <w:r w:rsidR="00AC40AC" w:rsidRPr="00864757">
        <w:rPr>
          <w:rFonts w:ascii="Times New Roman" w:hAnsi="Times New Roman" w:cs="Times New Roman"/>
          <w:color w:val="545454"/>
          <w:shd w:val="clear" w:color="auto" w:fill="FFFFFF"/>
          <w:lang w:val="en-GB"/>
        </w:rPr>
        <w:t>(</w:t>
      </w:r>
      <w:r w:rsidRPr="00864757">
        <w:rPr>
          <w:rFonts w:ascii="Times New Roman" w:hAnsi="Times New Roman" w:cs="Times New Roman"/>
          <w:color w:val="545454"/>
          <w:shd w:val="clear" w:color="auto" w:fill="FFFFFF"/>
          <w:lang w:val="en-GB"/>
        </w:rPr>
        <w:t>2021</w:t>
      </w:r>
      <w:r w:rsidR="00AC40AC" w:rsidRPr="00864757">
        <w:rPr>
          <w:rFonts w:ascii="Times New Roman" w:hAnsi="Times New Roman" w:cs="Times New Roman"/>
          <w:color w:val="545454"/>
          <w:shd w:val="clear" w:color="auto" w:fill="FFFFFF"/>
          <w:lang w:val="en-GB"/>
        </w:rPr>
        <w:t>)</w:t>
      </w:r>
      <w:r w:rsidRPr="00864757">
        <w:rPr>
          <w:rFonts w:ascii="Times New Roman" w:hAnsi="Times New Roman" w:cs="Times New Roman"/>
          <w:color w:val="545454"/>
          <w:shd w:val="clear" w:color="auto" w:fill="FFFFFF"/>
          <w:lang w:val="en-GB"/>
        </w:rPr>
        <w:t>. </w:t>
      </w:r>
      <w:r w:rsidRPr="00864757">
        <w:rPr>
          <w:rStyle w:val="Emphasis"/>
          <w:rFonts w:ascii="Times New Roman" w:hAnsi="Times New Roman" w:cs="Times New Roman"/>
          <w:i w:val="0"/>
          <w:iCs w:val="0"/>
          <w:color w:val="545454"/>
          <w:shd w:val="clear" w:color="auto" w:fill="FFFFFF"/>
          <w:lang w:val="en-GB"/>
        </w:rPr>
        <w:t>The State of Food and Agriculture 2021. Making agrifood systems more resilient to shocks and stresses</w:t>
      </w:r>
      <w:r w:rsidRPr="00864757">
        <w:rPr>
          <w:rFonts w:ascii="Times New Roman" w:hAnsi="Times New Roman" w:cs="Times New Roman"/>
          <w:color w:val="545454"/>
          <w:shd w:val="clear" w:color="auto" w:fill="FFFFFF"/>
          <w:lang w:val="en-GB"/>
        </w:rPr>
        <w:t xml:space="preserve">. </w:t>
      </w:r>
      <w:r w:rsidRPr="00E47091">
        <w:rPr>
          <w:rFonts w:ascii="Times New Roman" w:hAnsi="Times New Roman" w:cs="Times New Roman"/>
          <w:color w:val="545454"/>
          <w:shd w:val="clear" w:color="auto" w:fill="FFFFFF"/>
        </w:rPr>
        <w:t>Rome, FAO.</w:t>
      </w:r>
      <w:r w:rsidRPr="00E47091">
        <w:rPr>
          <w:rFonts w:ascii="Times New Roman" w:hAnsi="Times New Roman" w:cs="Times New Roman"/>
        </w:rPr>
        <w:t xml:space="preserve"> </w:t>
      </w:r>
      <w:r w:rsidR="00AC40AC" w:rsidRPr="00E47091">
        <w:rPr>
          <w:rFonts w:ascii="Times New Roman" w:hAnsi="Times New Roman" w:cs="Times New Roman"/>
        </w:rPr>
        <w:t xml:space="preserve">DOI: </w:t>
      </w:r>
      <w:hyperlink r:id="rId47" w:history="1">
        <w:r w:rsidR="00AC40AC" w:rsidRPr="00E47091">
          <w:rPr>
            <w:rStyle w:val="Hyperlink"/>
            <w:rFonts w:ascii="Times New Roman" w:hAnsi="Times New Roman" w:cs="Times New Roman"/>
          </w:rPr>
          <w:t>https://doi.org/10.4060/cb4476en</w:t>
        </w:r>
      </w:hyperlink>
      <w:r w:rsidRPr="00E47091">
        <w:rPr>
          <w:rFonts w:ascii="Times New Roman" w:hAnsi="Times New Roman" w:cs="Times New Roman"/>
          <w:color w:val="545454"/>
          <w:shd w:val="clear" w:color="auto" w:fill="FFFFFF"/>
        </w:rPr>
        <w:t>.</w:t>
      </w:r>
    </w:p>
    <w:p w14:paraId="26DF7967" w14:textId="6B043898" w:rsidR="00A80812" w:rsidRPr="00E47091" w:rsidRDefault="00AC40AC" w:rsidP="0039340A">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United Nations. 2020. Global Biodiversity Outlook 5. Montreal: Secretariat of the Convention on Biological Diversity. </w:t>
      </w:r>
      <w:r w:rsidRPr="00E47091">
        <w:rPr>
          <w:rFonts w:ascii="Times New Roman" w:hAnsi="Times New Roman" w:cs="Times New Roman"/>
          <w:color w:val="000000" w:themeColor="text1"/>
          <w:lang w:val="it"/>
        </w:rPr>
        <w:t xml:space="preserve">Available at </w:t>
      </w:r>
      <w:hyperlink r:id="rId48" w:history="1">
        <w:r w:rsidR="006A5BAB" w:rsidRPr="00E47091">
          <w:rPr>
            <w:rStyle w:val="Hyperlink"/>
            <w:rFonts w:ascii="Times New Roman" w:hAnsi="Times New Roman" w:cs="Times New Roman"/>
            <w:lang w:val="it"/>
          </w:rPr>
          <w:t>https://www.cbd.int/gbo5</w:t>
        </w:r>
      </w:hyperlink>
      <w:r w:rsidRPr="00E47091">
        <w:rPr>
          <w:rFonts w:ascii="Times New Roman" w:hAnsi="Times New Roman" w:cs="Times New Roman"/>
          <w:color w:val="000000" w:themeColor="text1"/>
          <w:lang w:val="it"/>
        </w:rPr>
        <w:t>.</w:t>
      </w:r>
    </w:p>
    <w:p w14:paraId="1CE6EA02" w14:textId="77777777" w:rsidR="00C6663B" w:rsidRPr="00E47091" w:rsidRDefault="006A5BAB" w:rsidP="00C6663B">
      <w:pPr>
        <w:pStyle w:val="ListParagraph"/>
        <w:numPr>
          <w:ilvl w:val="0"/>
          <w:numId w:val="1"/>
        </w:numPr>
        <w:ind w:left="426" w:hanging="426"/>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Lal, R. (2004). Soil Carbon Sequestration Impacts on Global Climate Change and Food Security. </w:t>
      </w:r>
      <w:r w:rsidRPr="00E47091">
        <w:rPr>
          <w:rFonts w:ascii="Times New Roman" w:hAnsi="Times New Roman" w:cs="Times New Roman"/>
          <w:color w:val="000000" w:themeColor="text1"/>
          <w:lang w:val="it"/>
        </w:rPr>
        <w:t xml:space="preserve">Science, 304(5677), 1623–1627. DOI: </w:t>
      </w:r>
      <w:hyperlink r:id="rId49" w:history="1">
        <w:r w:rsidRPr="00E47091">
          <w:rPr>
            <w:rStyle w:val="Hyperlink"/>
            <w:rFonts w:ascii="Times New Roman" w:hAnsi="Times New Roman" w:cs="Times New Roman"/>
            <w:lang w:val="it"/>
          </w:rPr>
          <w:t>https://doi.org/10.1126/science.1097396</w:t>
        </w:r>
      </w:hyperlink>
      <w:r w:rsidRPr="00E47091">
        <w:rPr>
          <w:rFonts w:ascii="Times New Roman" w:hAnsi="Times New Roman" w:cs="Times New Roman"/>
          <w:color w:val="000000" w:themeColor="text1"/>
          <w:lang w:val="it"/>
        </w:rPr>
        <w:t>.</w:t>
      </w:r>
    </w:p>
    <w:p w14:paraId="36707C5B" w14:textId="79DEF3C4" w:rsidR="00E410A6" w:rsidRPr="00E47091" w:rsidRDefault="00E410A6" w:rsidP="3C5DB29E">
      <w:pPr>
        <w:pStyle w:val="ListParagraph"/>
        <w:numPr>
          <w:ilvl w:val="0"/>
          <w:numId w:val="1"/>
        </w:numPr>
        <w:ind w:left="426" w:hanging="426"/>
        <w:jc w:val="both"/>
        <w:rPr>
          <w:rFonts w:ascii="Times New Roman" w:hAnsi="Times New Roman" w:cs="Times New Roman"/>
          <w:color w:val="000000" w:themeColor="text1"/>
        </w:rPr>
      </w:pPr>
      <w:r w:rsidRPr="00864757">
        <w:rPr>
          <w:rFonts w:ascii="Times New Roman" w:hAnsi="Times New Roman" w:cs="Times New Roman"/>
          <w:color w:val="333333"/>
          <w:shd w:val="clear" w:color="auto" w:fill="EAEAEA"/>
          <w:lang w:val="en-GB"/>
        </w:rPr>
        <w:t xml:space="preserve">Lal, R. (2020). Regenerative agriculture for food and climate. Journal of Soil and Water Conservation, 75(5), 123A-124A. </w:t>
      </w:r>
      <w:r w:rsidRPr="00E47091">
        <w:rPr>
          <w:rFonts w:ascii="Times New Roman" w:hAnsi="Times New Roman" w:cs="Times New Roman"/>
          <w:color w:val="333333"/>
          <w:shd w:val="clear" w:color="auto" w:fill="EAEAEA"/>
        </w:rPr>
        <w:t xml:space="preserve">DOI: </w:t>
      </w:r>
      <w:hyperlink r:id="rId50" w:history="1">
        <w:r w:rsidRPr="00E47091">
          <w:rPr>
            <w:rStyle w:val="Hyperlink"/>
            <w:rFonts w:ascii="Times New Roman" w:hAnsi="Times New Roman" w:cs="Times New Roman"/>
          </w:rPr>
          <w:t>https://doi.org/10.2489/jswc.2020.0620A</w:t>
        </w:r>
      </w:hyperlink>
      <w:r w:rsidRPr="00E47091">
        <w:rPr>
          <w:rFonts w:ascii="Times New Roman" w:hAnsi="Times New Roman" w:cs="Times New Roman"/>
          <w:color w:val="333333"/>
          <w:shd w:val="clear" w:color="auto" w:fill="EAEAEA"/>
        </w:rPr>
        <w:t>.</w:t>
      </w:r>
    </w:p>
    <w:p w14:paraId="51C3DF7E" w14:textId="2EC28634" w:rsidR="00D3385E" w:rsidRPr="00E47091" w:rsidRDefault="00D3385E" w:rsidP="00D3385E">
      <w:pPr>
        <w:pStyle w:val="ListParagraph"/>
        <w:numPr>
          <w:ilvl w:val="0"/>
          <w:numId w:val="1"/>
        </w:numPr>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rPr>
        <w:t xml:space="preserve">Chadwick, D., Sommer, S., Thorman, R., Fangueiro, D., Cardenas, L., Amon, B., Misselbrook, T. (2011). Manure management: Implications for greenhouse gas emissions. </w:t>
      </w:r>
      <w:r w:rsidRPr="00864757">
        <w:rPr>
          <w:rFonts w:ascii="Times New Roman" w:hAnsi="Times New Roman" w:cs="Times New Roman"/>
          <w:color w:val="000000" w:themeColor="text1"/>
          <w:lang w:val="en-GB"/>
        </w:rPr>
        <w:t xml:space="preserve">Animal Feed Science and Technology, vol. 166–167, pp. 514-531. DOI: </w:t>
      </w:r>
      <w:hyperlink r:id="rId51" w:history="1">
        <w:r w:rsidR="00F566FE" w:rsidRPr="00864757">
          <w:rPr>
            <w:rStyle w:val="Hyperlink"/>
            <w:rFonts w:ascii="Times New Roman" w:hAnsi="Times New Roman" w:cs="Times New Roman"/>
            <w:lang w:val="en-GB"/>
          </w:rPr>
          <w:t>https://doi.org/10.1016/j.anifeedsci.2011.04.036</w:t>
        </w:r>
      </w:hyperlink>
      <w:r w:rsidRPr="00864757">
        <w:rPr>
          <w:rFonts w:ascii="Times New Roman" w:hAnsi="Times New Roman" w:cs="Times New Roman"/>
          <w:color w:val="000000" w:themeColor="text1"/>
          <w:lang w:val="en-GB"/>
        </w:rPr>
        <w:t>.</w:t>
      </w:r>
    </w:p>
    <w:p w14:paraId="1B6567A1" w14:textId="22A73BBB" w:rsidR="007331F3" w:rsidRPr="00E47091" w:rsidRDefault="00F566FE" w:rsidP="00D3385E">
      <w:pPr>
        <w:pStyle w:val="ListParagraph"/>
        <w:numPr>
          <w:ilvl w:val="0"/>
          <w:numId w:val="1"/>
        </w:numPr>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 xml:space="preserve">Millennium Ecosystem Assessment (MEA). (2005). Ecosystems and Human Well-being: Synthesis. Washington, DC: Island Press, </w:t>
      </w:r>
      <w:r w:rsidR="0000609E" w:rsidRPr="00864757">
        <w:rPr>
          <w:rFonts w:ascii="Times New Roman" w:hAnsi="Times New Roman" w:cs="Times New Roman"/>
          <w:color w:val="000000" w:themeColor="text1"/>
          <w:lang w:val="en-GB"/>
        </w:rPr>
        <w:t>Available</w:t>
      </w:r>
      <w:r w:rsidRPr="00864757">
        <w:rPr>
          <w:rFonts w:ascii="Times New Roman" w:hAnsi="Times New Roman" w:cs="Times New Roman"/>
          <w:color w:val="000000" w:themeColor="text1"/>
          <w:lang w:val="en-GB"/>
        </w:rPr>
        <w:t xml:space="preserve"> at </w:t>
      </w:r>
      <w:hyperlink r:id="rId52" w:history="1">
        <w:r w:rsidR="007331F3" w:rsidRPr="00864757">
          <w:rPr>
            <w:rStyle w:val="Hyperlink"/>
            <w:rFonts w:ascii="Times New Roman" w:hAnsi="Times New Roman" w:cs="Times New Roman"/>
            <w:lang w:val="en-GB"/>
          </w:rPr>
          <w:t>https://www.millenniumassessment.org</w:t>
        </w:r>
      </w:hyperlink>
      <w:r w:rsidR="007331F3" w:rsidRPr="00864757">
        <w:rPr>
          <w:rFonts w:ascii="Times New Roman" w:hAnsi="Times New Roman" w:cs="Times New Roman"/>
          <w:color w:val="000000" w:themeColor="text1"/>
          <w:lang w:val="en-GB"/>
        </w:rPr>
        <w:t>.</w:t>
      </w:r>
    </w:p>
    <w:p w14:paraId="19F2D3AF" w14:textId="793A95C5" w:rsidR="00F566FE" w:rsidRPr="00E47091" w:rsidRDefault="007331F3" w:rsidP="007331F3">
      <w:pPr>
        <w:pStyle w:val="ListParagraph"/>
        <w:numPr>
          <w:ilvl w:val="0"/>
          <w:numId w:val="1"/>
        </w:numPr>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lang w:val="da-DK"/>
        </w:rPr>
        <w:t xml:space="preserve">Jonathan A. Foley et al. </w:t>
      </w:r>
      <w:r w:rsidRPr="00864757">
        <w:rPr>
          <w:rFonts w:ascii="Times New Roman" w:hAnsi="Times New Roman" w:cs="Times New Roman"/>
          <w:color w:val="000000" w:themeColor="text1"/>
          <w:lang w:val="en-GB"/>
        </w:rPr>
        <w:t xml:space="preserve">(2005). Global Consequences of Land Use. </w:t>
      </w:r>
      <w:r w:rsidRPr="00E47091">
        <w:rPr>
          <w:rFonts w:ascii="Times New Roman" w:hAnsi="Times New Roman" w:cs="Times New Roman"/>
          <w:color w:val="000000" w:themeColor="text1"/>
          <w:lang w:val="it"/>
        </w:rPr>
        <w:t>Science vol. 309, pp. 570-574.DOI:10.1126/science.1111772.</w:t>
      </w:r>
    </w:p>
    <w:p w14:paraId="5403D6E7" w14:textId="6FE0F4E4" w:rsidR="00305AA9" w:rsidRPr="00E47091" w:rsidRDefault="00305AA9" w:rsidP="007331F3">
      <w:pPr>
        <w:pStyle w:val="ListParagraph"/>
        <w:numPr>
          <w:ilvl w:val="0"/>
          <w:numId w:val="1"/>
        </w:numPr>
        <w:jc w:val="both"/>
        <w:rPr>
          <w:rFonts w:ascii="Times New Roman" w:hAnsi="Times New Roman" w:cs="Times New Roman"/>
          <w:color w:val="000000" w:themeColor="text1"/>
          <w:lang w:val="en-GB"/>
        </w:rPr>
      </w:pPr>
      <w:r w:rsidRPr="00E47091">
        <w:rPr>
          <w:rFonts w:ascii="Times New Roman" w:hAnsi="Times New Roman" w:cs="Times New Roman"/>
          <w:color w:val="000000" w:themeColor="text1"/>
          <w:lang w:val="pl-PL"/>
        </w:rPr>
        <w:t xml:space="preserve">Brady, N. C., Weil, R. R. (2016). </w:t>
      </w:r>
      <w:r w:rsidRPr="00864757">
        <w:rPr>
          <w:rFonts w:ascii="Times New Roman" w:hAnsi="Times New Roman" w:cs="Times New Roman"/>
          <w:color w:val="000000" w:themeColor="text1"/>
          <w:lang w:val="en-GB"/>
        </w:rPr>
        <w:t xml:space="preserve">The Nature and Properties of Soils (15th ed.). </w:t>
      </w:r>
      <w:r w:rsidRPr="00E47091">
        <w:rPr>
          <w:rFonts w:ascii="Times New Roman" w:hAnsi="Times New Roman" w:cs="Times New Roman"/>
          <w:color w:val="000000" w:themeColor="text1"/>
          <w:lang w:val="it"/>
        </w:rPr>
        <w:t>Pearson Education.</w:t>
      </w:r>
    </w:p>
    <w:p w14:paraId="11982A85" w14:textId="41848C4D" w:rsidR="0088346C" w:rsidRPr="000C1C0A" w:rsidRDefault="00824E8E" w:rsidP="3C5DB29E">
      <w:pPr>
        <w:pStyle w:val="ListParagraph"/>
        <w:numPr>
          <w:ilvl w:val="0"/>
          <w:numId w:val="1"/>
        </w:numPr>
        <w:jc w:val="both"/>
        <w:rPr>
          <w:rFonts w:ascii="Times New Roman" w:hAnsi="Times New Roman" w:cs="Times New Roman"/>
          <w:color w:val="000000" w:themeColor="text1"/>
          <w:lang w:val="en-GB"/>
        </w:rPr>
      </w:pPr>
      <w:r w:rsidRPr="00864757">
        <w:rPr>
          <w:rFonts w:ascii="Times New Roman" w:hAnsi="Times New Roman" w:cs="Times New Roman"/>
          <w:color w:val="000000" w:themeColor="text1"/>
          <w:lang w:val="en-GB"/>
        </w:rPr>
        <w:t>EU Mission Soil Deal for Europe</w:t>
      </w:r>
      <w:r w:rsidR="000E14A7" w:rsidRPr="00864757">
        <w:rPr>
          <w:rFonts w:ascii="Times New Roman" w:hAnsi="Times New Roman" w:cs="Times New Roman"/>
          <w:color w:val="000000" w:themeColor="text1"/>
          <w:lang w:val="en-GB"/>
        </w:rPr>
        <w:t xml:space="preserve">. 100 living labs and lighthouses to lead the transition towards </w:t>
      </w:r>
      <w:r w:rsidR="0000609E" w:rsidRPr="00864757">
        <w:rPr>
          <w:rFonts w:ascii="Times New Roman" w:hAnsi="Times New Roman" w:cs="Times New Roman"/>
          <w:color w:val="000000" w:themeColor="text1"/>
          <w:lang w:val="en-GB"/>
        </w:rPr>
        <w:t>healthy soils</w:t>
      </w:r>
      <w:r w:rsidR="000E14A7" w:rsidRPr="00864757">
        <w:rPr>
          <w:rFonts w:ascii="Times New Roman" w:hAnsi="Times New Roman" w:cs="Times New Roman"/>
          <w:color w:val="000000" w:themeColor="text1"/>
          <w:lang w:val="en-GB"/>
        </w:rPr>
        <w:t xml:space="preserve"> by 2023.</w:t>
      </w:r>
      <w:r w:rsidRPr="00864757">
        <w:rPr>
          <w:rFonts w:ascii="Times New Roman" w:hAnsi="Times New Roman" w:cs="Times New Roman"/>
          <w:color w:val="000000" w:themeColor="text1"/>
          <w:lang w:val="en-GB"/>
        </w:rPr>
        <w:t xml:space="preserve"> Implementation plan</w:t>
      </w:r>
      <w:r w:rsidR="006E6A5C" w:rsidRPr="00864757">
        <w:rPr>
          <w:rFonts w:ascii="Times New Roman" w:hAnsi="Times New Roman" w:cs="Times New Roman"/>
          <w:color w:val="000000" w:themeColor="text1"/>
          <w:lang w:val="en-GB"/>
        </w:rPr>
        <w:t xml:space="preserve">. Available at </w:t>
      </w:r>
      <w:hyperlink r:id="rId53">
        <w:r w:rsidR="006E6A5C" w:rsidRPr="00864757">
          <w:rPr>
            <w:rStyle w:val="Hyperlink"/>
            <w:rFonts w:ascii="Times New Roman" w:hAnsi="Times New Roman" w:cs="Times New Roman"/>
            <w:lang w:val="en-GB"/>
          </w:rPr>
          <w:t>https://research-and-innovation.ec.europa.eu/knowledge-publications-tools-and-data/publications/all-publications/implementation-plans-eu-missions_en</w:t>
        </w:r>
      </w:hyperlink>
    </w:p>
    <w:sectPr w:rsidR="0088346C" w:rsidRPr="000C1C0A" w:rsidSect="00005425">
      <w:headerReference w:type="default" r:id="rId54"/>
      <w:footerReference w:type="default" r:id="rId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A8E80" w14:textId="77777777" w:rsidR="00A16E91" w:rsidRDefault="00A16E91" w:rsidP="00D45FCE">
      <w:pPr>
        <w:spacing w:after="0" w:line="240" w:lineRule="auto"/>
      </w:pPr>
      <w:r>
        <w:separator/>
      </w:r>
    </w:p>
  </w:endnote>
  <w:endnote w:type="continuationSeparator" w:id="0">
    <w:p w14:paraId="5CF79540" w14:textId="77777777" w:rsidR="00A16E91" w:rsidRDefault="00A16E91" w:rsidP="00D45FCE">
      <w:pPr>
        <w:spacing w:after="0" w:line="240" w:lineRule="auto"/>
      </w:pPr>
      <w:r>
        <w:continuationSeparator/>
      </w:r>
    </w:p>
  </w:endnote>
  <w:endnote w:type="continuationNotice" w:id="1">
    <w:p w14:paraId="395F6E28" w14:textId="77777777" w:rsidR="00A16E91" w:rsidRDefault="00A16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Footer"/>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0FBE2" w14:textId="77777777" w:rsidR="00A16E91" w:rsidRDefault="00A16E91" w:rsidP="00D45FCE">
      <w:pPr>
        <w:spacing w:after="0" w:line="240" w:lineRule="auto"/>
      </w:pPr>
      <w:r>
        <w:separator/>
      </w:r>
    </w:p>
  </w:footnote>
  <w:footnote w:type="continuationSeparator" w:id="0">
    <w:p w14:paraId="38F7BF70" w14:textId="77777777" w:rsidR="00A16E91" w:rsidRDefault="00A16E91" w:rsidP="00D45FCE">
      <w:pPr>
        <w:spacing w:after="0" w:line="240" w:lineRule="auto"/>
      </w:pPr>
      <w:r>
        <w:continuationSeparator/>
      </w:r>
    </w:p>
  </w:footnote>
  <w:footnote w:type="continuationNotice" w:id="1">
    <w:p w14:paraId="7E6D5E3B" w14:textId="77777777" w:rsidR="00A16E91" w:rsidRDefault="00A16E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Header"/>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94AF1"/>
    <w:rsid w:val="001A43DB"/>
    <w:rsid w:val="001A5BD9"/>
    <w:rsid w:val="001B1D9B"/>
    <w:rsid w:val="001B4585"/>
    <w:rsid w:val="001D42F7"/>
    <w:rsid w:val="001D7EC2"/>
    <w:rsid w:val="001E013E"/>
    <w:rsid w:val="0021576C"/>
    <w:rsid w:val="00235624"/>
    <w:rsid w:val="00245C36"/>
    <w:rsid w:val="00262263"/>
    <w:rsid w:val="00263A54"/>
    <w:rsid w:val="00266FDC"/>
    <w:rsid w:val="002834EC"/>
    <w:rsid w:val="002841B1"/>
    <w:rsid w:val="00286FD8"/>
    <w:rsid w:val="002928B0"/>
    <w:rsid w:val="00295DE0"/>
    <w:rsid w:val="002A25F6"/>
    <w:rsid w:val="002A67F8"/>
    <w:rsid w:val="002B3B16"/>
    <w:rsid w:val="002B433D"/>
    <w:rsid w:val="002F0403"/>
    <w:rsid w:val="002F1A9D"/>
    <w:rsid w:val="003036C6"/>
    <w:rsid w:val="00305AA9"/>
    <w:rsid w:val="00305B7A"/>
    <w:rsid w:val="003222BB"/>
    <w:rsid w:val="00325D69"/>
    <w:rsid w:val="0033472B"/>
    <w:rsid w:val="00336CC7"/>
    <w:rsid w:val="00340A59"/>
    <w:rsid w:val="00345DB7"/>
    <w:rsid w:val="0035414B"/>
    <w:rsid w:val="00373999"/>
    <w:rsid w:val="00381B1D"/>
    <w:rsid w:val="00392C41"/>
    <w:rsid w:val="0039340A"/>
    <w:rsid w:val="003B4948"/>
    <w:rsid w:val="003B59F1"/>
    <w:rsid w:val="003B59F6"/>
    <w:rsid w:val="003B700C"/>
    <w:rsid w:val="003D7524"/>
    <w:rsid w:val="003F1C18"/>
    <w:rsid w:val="00400A2C"/>
    <w:rsid w:val="00401AC5"/>
    <w:rsid w:val="00403E02"/>
    <w:rsid w:val="004057B3"/>
    <w:rsid w:val="0041374C"/>
    <w:rsid w:val="00430B8F"/>
    <w:rsid w:val="00431FEF"/>
    <w:rsid w:val="00451D6D"/>
    <w:rsid w:val="00481076"/>
    <w:rsid w:val="004A1284"/>
    <w:rsid w:val="004B1424"/>
    <w:rsid w:val="004C6804"/>
    <w:rsid w:val="004E6CA3"/>
    <w:rsid w:val="004F7434"/>
    <w:rsid w:val="0051144D"/>
    <w:rsid w:val="00525540"/>
    <w:rsid w:val="00544C03"/>
    <w:rsid w:val="00550145"/>
    <w:rsid w:val="0055428B"/>
    <w:rsid w:val="00573E13"/>
    <w:rsid w:val="00582A39"/>
    <w:rsid w:val="005A51C5"/>
    <w:rsid w:val="005A766D"/>
    <w:rsid w:val="005E604C"/>
    <w:rsid w:val="005F5916"/>
    <w:rsid w:val="005F70A0"/>
    <w:rsid w:val="006236FB"/>
    <w:rsid w:val="00627419"/>
    <w:rsid w:val="00644919"/>
    <w:rsid w:val="006471A4"/>
    <w:rsid w:val="0064757E"/>
    <w:rsid w:val="006617E3"/>
    <w:rsid w:val="0067008A"/>
    <w:rsid w:val="006810B8"/>
    <w:rsid w:val="006A5BAB"/>
    <w:rsid w:val="006A78A6"/>
    <w:rsid w:val="006C4BFC"/>
    <w:rsid w:val="006D24D6"/>
    <w:rsid w:val="006E6A5C"/>
    <w:rsid w:val="006F116C"/>
    <w:rsid w:val="006F2E74"/>
    <w:rsid w:val="006F7FFC"/>
    <w:rsid w:val="007058B1"/>
    <w:rsid w:val="007331F3"/>
    <w:rsid w:val="00742F73"/>
    <w:rsid w:val="0074491D"/>
    <w:rsid w:val="00756CD9"/>
    <w:rsid w:val="00767523"/>
    <w:rsid w:val="00771247"/>
    <w:rsid w:val="00782440"/>
    <w:rsid w:val="00783BF9"/>
    <w:rsid w:val="007C06B2"/>
    <w:rsid w:val="007C4345"/>
    <w:rsid w:val="007C4628"/>
    <w:rsid w:val="007D4ACB"/>
    <w:rsid w:val="007F064D"/>
    <w:rsid w:val="00814E64"/>
    <w:rsid w:val="00824E8E"/>
    <w:rsid w:val="008341D1"/>
    <w:rsid w:val="008366AC"/>
    <w:rsid w:val="0084208D"/>
    <w:rsid w:val="008639D3"/>
    <w:rsid w:val="00864757"/>
    <w:rsid w:val="0087744D"/>
    <w:rsid w:val="0088346C"/>
    <w:rsid w:val="008A1794"/>
    <w:rsid w:val="008D2247"/>
    <w:rsid w:val="008E573B"/>
    <w:rsid w:val="00901C14"/>
    <w:rsid w:val="0090512F"/>
    <w:rsid w:val="009072D9"/>
    <w:rsid w:val="009745EE"/>
    <w:rsid w:val="00976B7B"/>
    <w:rsid w:val="009A04B6"/>
    <w:rsid w:val="009A1009"/>
    <w:rsid w:val="009B0042"/>
    <w:rsid w:val="009B1027"/>
    <w:rsid w:val="009B5DF5"/>
    <w:rsid w:val="009F2FB0"/>
    <w:rsid w:val="009F3CB3"/>
    <w:rsid w:val="009F6001"/>
    <w:rsid w:val="00A10227"/>
    <w:rsid w:val="00A1160B"/>
    <w:rsid w:val="00A16E91"/>
    <w:rsid w:val="00A35AB2"/>
    <w:rsid w:val="00A37719"/>
    <w:rsid w:val="00A45805"/>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7532"/>
    <w:rsid w:val="00CA1E33"/>
    <w:rsid w:val="00CB0D6C"/>
    <w:rsid w:val="00CB5EC8"/>
    <w:rsid w:val="00CE2639"/>
    <w:rsid w:val="00D32CD6"/>
    <w:rsid w:val="00D32F43"/>
    <w:rsid w:val="00D3385E"/>
    <w:rsid w:val="00D33ED2"/>
    <w:rsid w:val="00D45FCE"/>
    <w:rsid w:val="00D54F67"/>
    <w:rsid w:val="00D600D0"/>
    <w:rsid w:val="00D95FD2"/>
    <w:rsid w:val="00DA15FD"/>
    <w:rsid w:val="00DB0D05"/>
    <w:rsid w:val="00DB4522"/>
    <w:rsid w:val="00DC6B39"/>
    <w:rsid w:val="00DD73DC"/>
    <w:rsid w:val="00DE364D"/>
    <w:rsid w:val="00DF7C39"/>
    <w:rsid w:val="00E03E8D"/>
    <w:rsid w:val="00E14DC8"/>
    <w:rsid w:val="00E15523"/>
    <w:rsid w:val="00E16D11"/>
    <w:rsid w:val="00E410A6"/>
    <w:rsid w:val="00E47091"/>
    <w:rsid w:val="00E61C6A"/>
    <w:rsid w:val="00E62F23"/>
    <w:rsid w:val="00E73764"/>
    <w:rsid w:val="00E848B8"/>
    <w:rsid w:val="00EA5E54"/>
    <w:rsid w:val="00EC259C"/>
    <w:rsid w:val="00EC6030"/>
    <w:rsid w:val="00ED45AD"/>
    <w:rsid w:val="00F11928"/>
    <w:rsid w:val="00F159DB"/>
    <w:rsid w:val="00F566FE"/>
    <w:rsid w:val="00F71604"/>
    <w:rsid w:val="00F801A5"/>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Heading1">
    <w:name w:val="heading 1"/>
    <w:basedOn w:val="Normal"/>
    <w:next w:val="Normal"/>
    <w:link w:val="Heading1Ch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5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5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5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5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5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5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5FCE"/>
    <w:rPr>
      <w:rFonts w:eastAsiaTheme="majorEastAsia" w:cstheme="majorBidi"/>
      <w:color w:val="272727" w:themeColor="text1" w:themeTint="D8"/>
    </w:rPr>
  </w:style>
  <w:style w:type="paragraph" w:styleId="Title">
    <w:name w:val="Title"/>
    <w:basedOn w:val="Normal"/>
    <w:next w:val="Normal"/>
    <w:link w:val="TitleCh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5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5FCE"/>
    <w:pPr>
      <w:spacing w:before="160"/>
      <w:jc w:val="center"/>
    </w:pPr>
    <w:rPr>
      <w:i/>
      <w:iCs/>
      <w:color w:val="404040" w:themeColor="text1" w:themeTint="BF"/>
    </w:rPr>
  </w:style>
  <w:style w:type="character" w:customStyle="1" w:styleId="QuoteChar">
    <w:name w:val="Quote Char"/>
    <w:basedOn w:val="DefaultParagraphFont"/>
    <w:link w:val="Quote"/>
    <w:uiPriority w:val="29"/>
    <w:rsid w:val="00D45FCE"/>
    <w:rPr>
      <w:i/>
      <w:iCs/>
      <w:color w:val="404040" w:themeColor="text1" w:themeTint="BF"/>
    </w:rPr>
  </w:style>
  <w:style w:type="paragraph" w:styleId="ListParagraph">
    <w:name w:val="List Paragraph"/>
    <w:basedOn w:val="Normal"/>
    <w:uiPriority w:val="34"/>
    <w:qFormat/>
    <w:rsid w:val="00D45FCE"/>
    <w:pPr>
      <w:ind w:left="720"/>
      <w:contextualSpacing/>
    </w:pPr>
  </w:style>
  <w:style w:type="character" w:styleId="IntenseEmphasis">
    <w:name w:val="Intense Emphasis"/>
    <w:basedOn w:val="DefaultParagraphFont"/>
    <w:uiPriority w:val="21"/>
    <w:qFormat/>
    <w:rsid w:val="00D45FCE"/>
    <w:rPr>
      <w:i/>
      <w:iCs/>
      <w:color w:val="0F4761" w:themeColor="accent1" w:themeShade="BF"/>
    </w:rPr>
  </w:style>
  <w:style w:type="paragraph" w:styleId="IntenseQuote">
    <w:name w:val="Intense Quote"/>
    <w:basedOn w:val="Normal"/>
    <w:next w:val="Normal"/>
    <w:link w:val="IntenseQuoteCh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5FCE"/>
    <w:rPr>
      <w:i/>
      <w:iCs/>
      <w:color w:val="0F4761" w:themeColor="accent1" w:themeShade="BF"/>
    </w:rPr>
  </w:style>
  <w:style w:type="character" w:styleId="IntenseReference">
    <w:name w:val="Intense Reference"/>
    <w:basedOn w:val="DefaultParagraphFont"/>
    <w:uiPriority w:val="32"/>
    <w:qFormat/>
    <w:rsid w:val="00D45FCE"/>
    <w:rPr>
      <w:b/>
      <w:bCs/>
      <w:smallCaps/>
      <w:color w:val="0F4761" w:themeColor="accent1" w:themeShade="BF"/>
      <w:spacing w:val="5"/>
    </w:rPr>
  </w:style>
  <w:style w:type="paragraph" w:styleId="Header">
    <w:name w:val="header"/>
    <w:basedOn w:val="Normal"/>
    <w:link w:val="HeaderChar"/>
    <w:uiPriority w:val="99"/>
    <w:unhideWhenUsed/>
    <w:rsid w:val="00D45F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FCE"/>
  </w:style>
  <w:style w:type="paragraph" w:styleId="Footer">
    <w:name w:val="footer"/>
    <w:basedOn w:val="Normal"/>
    <w:link w:val="FooterChar"/>
    <w:uiPriority w:val="99"/>
    <w:unhideWhenUsed/>
    <w:rsid w:val="00D45F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FCE"/>
  </w:style>
  <w:style w:type="table" w:styleId="TableGrid">
    <w:name w:val="Table Grid"/>
    <w:basedOn w:val="Table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E49"/>
    <w:rPr>
      <w:color w:val="0000FF"/>
      <w:u w:val="single"/>
    </w:rPr>
  </w:style>
  <w:style w:type="character" w:styleId="UnresolvedMention">
    <w:name w:val="Unresolved Mention"/>
    <w:basedOn w:val="DefaultParagraphFont"/>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FollowedHyperlink">
    <w:name w:val="FollowedHyperlink"/>
    <w:basedOn w:val="DefaultParagraphFont"/>
    <w:uiPriority w:val="99"/>
    <w:semiHidden/>
    <w:unhideWhenUsed/>
    <w:rsid w:val="005F70A0"/>
    <w:rPr>
      <w:color w:val="96607D" w:themeColor="followedHyperlink"/>
      <w:u w:val="single"/>
    </w:rPr>
  </w:style>
  <w:style w:type="paragraph" w:styleId="EndnoteText">
    <w:name w:val="endnote text"/>
    <w:basedOn w:val="Normal"/>
    <w:link w:val="EndnoteTextChar"/>
    <w:uiPriority w:val="99"/>
    <w:semiHidden/>
    <w:unhideWhenUsed/>
    <w:rsid w:val="00B929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92D"/>
    <w:rPr>
      <w:sz w:val="20"/>
      <w:szCs w:val="20"/>
    </w:rPr>
  </w:style>
  <w:style w:type="character" w:styleId="EndnoteReference">
    <w:name w:val="endnote reference"/>
    <w:basedOn w:val="DefaultParagraphFont"/>
    <w:uiPriority w:val="99"/>
    <w:semiHidden/>
    <w:unhideWhenUsed/>
    <w:rsid w:val="00B9292D"/>
    <w:rPr>
      <w:vertAlign w:val="superscript"/>
    </w:rPr>
  </w:style>
  <w:style w:type="character" w:styleId="CommentReference">
    <w:name w:val="annotation reference"/>
    <w:basedOn w:val="DefaultParagraphFont"/>
    <w:uiPriority w:val="99"/>
    <w:semiHidden/>
    <w:unhideWhenUsed/>
    <w:rsid w:val="003222BB"/>
    <w:rPr>
      <w:sz w:val="16"/>
      <w:szCs w:val="16"/>
    </w:rPr>
  </w:style>
  <w:style w:type="paragraph" w:styleId="CommentText">
    <w:name w:val="annotation text"/>
    <w:basedOn w:val="Normal"/>
    <w:link w:val="CommentTextChar"/>
    <w:uiPriority w:val="99"/>
    <w:unhideWhenUsed/>
    <w:rsid w:val="003222BB"/>
    <w:pPr>
      <w:spacing w:line="240" w:lineRule="auto"/>
    </w:pPr>
    <w:rPr>
      <w:sz w:val="20"/>
      <w:szCs w:val="20"/>
    </w:rPr>
  </w:style>
  <w:style w:type="character" w:customStyle="1" w:styleId="CommentTextChar">
    <w:name w:val="Comment Text Char"/>
    <w:basedOn w:val="DefaultParagraphFont"/>
    <w:link w:val="CommentText"/>
    <w:uiPriority w:val="99"/>
    <w:rsid w:val="003222BB"/>
    <w:rPr>
      <w:sz w:val="20"/>
      <w:szCs w:val="20"/>
    </w:rPr>
  </w:style>
  <w:style w:type="paragraph" w:styleId="CommentSubject">
    <w:name w:val="annotation subject"/>
    <w:basedOn w:val="CommentText"/>
    <w:next w:val="CommentText"/>
    <w:link w:val="CommentSubjectChar"/>
    <w:uiPriority w:val="99"/>
    <w:semiHidden/>
    <w:unhideWhenUsed/>
    <w:rsid w:val="003222BB"/>
    <w:rPr>
      <w:b/>
      <w:bCs/>
    </w:rPr>
  </w:style>
  <w:style w:type="character" w:customStyle="1" w:styleId="CommentSubjectChar">
    <w:name w:val="Comment Subject Char"/>
    <w:basedOn w:val="CommentTextChar"/>
    <w:link w:val="CommentSubject"/>
    <w:uiPriority w:val="99"/>
    <w:semiHidden/>
    <w:rsid w:val="003222BB"/>
    <w:rPr>
      <w:b/>
      <w:bCs/>
      <w:sz w:val="20"/>
      <w:szCs w:val="20"/>
    </w:rPr>
  </w:style>
  <w:style w:type="paragraph" w:styleId="BalloonText">
    <w:name w:val="Balloon Text"/>
    <w:basedOn w:val="Normal"/>
    <w:link w:val="BalloonTextChar"/>
    <w:uiPriority w:val="99"/>
    <w:semiHidden/>
    <w:unhideWhenUsed/>
    <w:rsid w:val="00322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2BB"/>
    <w:rPr>
      <w:rFonts w:ascii="Segoe UI" w:hAnsi="Segoe UI" w:cs="Segoe UI"/>
      <w:sz w:val="18"/>
      <w:szCs w:val="18"/>
    </w:rPr>
  </w:style>
  <w:style w:type="paragraph" w:styleId="Revision">
    <w:name w:val="Revision"/>
    <w:hidden/>
    <w:uiPriority w:val="99"/>
    <w:semiHidden/>
    <w:rsid w:val="00CE2639"/>
    <w:pPr>
      <w:spacing w:after="0" w:line="240" w:lineRule="auto"/>
    </w:pPr>
  </w:style>
  <w:style w:type="character" w:styleId="Emphasis">
    <w:name w:val="Emphasis"/>
    <w:basedOn w:val="DefaultParagraphFont"/>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hapter/10.1007/978-3-031-18923-4_6/figures/4" TargetMode="External"/><Relationship Id="rId18" Type="http://schemas.openxmlformats.org/officeDocument/2006/relationships/hyperlink" Target="https://nbsoil.eu/glossary/" TargetMode="External"/><Relationship Id="rId26" Type="http://schemas.openxmlformats.org/officeDocument/2006/relationships/hyperlink" Target="https://www.eurovia.org/wp-content/uploads/2016/11/defining-land-grabs.pdf" TargetMode="External"/><Relationship Id="rId39" Type="http://schemas.openxmlformats.org/officeDocument/2006/relationships/hyperlink" Target="https://www.oed.com/search/dictionary" TargetMode="External"/><Relationship Id="rId21" Type="http://schemas.openxmlformats.org/officeDocument/2006/relationships/hyperlink" Target="https://landmarkproject.eu/landmark-glossary/" TargetMode="External"/><Relationship Id="rId34" Type="http://schemas.openxmlformats.org/officeDocument/2006/relationships/hyperlink" Target="https://doi.org/10.3389/fenvs.2022.1028839" TargetMode="External"/><Relationship Id="rId42" Type="http://schemas.openxmlformats.org/officeDocument/2006/relationships/hyperlink" Target="https://web.mit.edu/jrankin/www/interdisciplinary/interdisc_Newell.pdf" TargetMode="External"/><Relationship Id="rId47" Type="http://schemas.openxmlformats.org/officeDocument/2006/relationships/hyperlink" Target="https://doi.org/10.4060/cb4476en" TargetMode="External"/><Relationship Id="rId50" Type="http://schemas.openxmlformats.org/officeDocument/2006/relationships/hyperlink" Target="https://doi.org/10.2489/jswc.2020.0620A"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3390/agronomy12112595" TargetMode="External"/><Relationship Id="rId29" Type="http://schemas.openxmlformats.org/officeDocument/2006/relationships/hyperlink" Target="https://doi.org/10.1038/s43247-024-01405-8" TargetMode="External"/><Relationship Id="rId11" Type="http://schemas.openxmlformats.org/officeDocument/2006/relationships/image" Target="media/image1.png"/><Relationship Id="rId24" Type="http://schemas.openxmlformats.org/officeDocument/2006/relationships/hyperlink" Target="https://doi.org/10.3390/agronomy12112595" TargetMode="External"/><Relationship Id="rId32" Type="http://schemas.openxmlformats.org/officeDocument/2006/relationships/hyperlink" Target="https://doi.org/10.1111/jvs.12727" TargetMode="External"/><Relationship Id="rId37" Type="http://schemas.openxmlformats.org/officeDocument/2006/relationships/hyperlink" Target="https://techresearchonline.com/blog/10-new-ways-to-communicate-digitally-age-of-digital-technology/" TargetMode="External"/><Relationship Id="rId40" Type="http://schemas.openxmlformats.org/officeDocument/2006/relationships/hyperlink" Target="https://www.who.int/teams/noncommunicable-diseases/sensory-functions-disability-and-rehabilitation/world-report-on-disability" TargetMode="External"/><Relationship Id="rId45" Type="http://schemas.openxmlformats.org/officeDocument/2006/relationships/hyperlink" Target="https://doi.org/10.1007/s11625-020-00794-x" TargetMode="External"/><Relationship Id="rId53" Type="http://schemas.openxmlformats.org/officeDocument/2006/relationships/hyperlink" Target="https://research-and-innovation.ec.europa.eu/knowledge-publications-tools-and-data/publications/all-publications/implementation-plans-eu-missions_en" TargetMode="External"/><Relationship Id="rId5" Type="http://schemas.openxmlformats.org/officeDocument/2006/relationships/numbering" Target="numbering.xml"/><Relationship Id="rId19" Type="http://schemas.openxmlformats.org/officeDocument/2006/relationships/hyperlink" Target="https://soilhealthbenchmarks.eu/gloss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o.org/ag/ca/" TargetMode="External"/><Relationship Id="rId22" Type="http://schemas.openxmlformats.org/officeDocument/2006/relationships/hyperlink" Target="https://doi.org/10.1007/978-3-031-18923-4_6" TargetMode="External"/><Relationship Id="rId27" Type="http://schemas.openxmlformats.org/officeDocument/2006/relationships/hyperlink" Target="https://doi.org/10.1080/10643389.2023.2228651" TargetMode="External"/><Relationship Id="rId30" Type="http://schemas.openxmlformats.org/officeDocument/2006/relationships/hyperlink" Target="https://doi.org/10.3390/agriculture10090394" TargetMode="External"/><Relationship Id="rId35" Type="http://schemas.openxmlformats.org/officeDocument/2006/relationships/hyperlink" Target="https://doi.org/10.1080/03004279.2023.2186972" TargetMode="External"/><Relationship Id="rId43" Type="http://schemas.openxmlformats.org/officeDocument/2006/relationships/hyperlink" Target="http://dx.doi.org/10.1201/b12500" TargetMode="External"/><Relationship Id="rId48" Type="http://schemas.openxmlformats.org/officeDocument/2006/relationships/hyperlink" Target="https://www.cbd.int/gbo5"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anifeedsci.2011.04.036" TargetMode="External"/><Relationship Id="rId3" Type="http://schemas.openxmlformats.org/officeDocument/2006/relationships/customXml" Target="../customXml/item3.xml"/><Relationship Id="rId12" Type="http://schemas.openxmlformats.org/officeDocument/2006/relationships/hyperlink" Target="https://doi.org/10.1007/978-3-031-18923-4_6" TargetMode="External"/><Relationship Id="rId17" Type="http://schemas.openxmlformats.org/officeDocument/2006/relationships/hyperlink" Target="http://landmarkproject.eu/soil-functions-concept/" TargetMode="External"/><Relationship Id="rId25" Type="http://schemas.openxmlformats.org/officeDocument/2006/relationships/hyperlink" Target="https://ohioline.osu.edu/factsheet/SAG-19" TargetMode="External"/><Relationship Id="rId33" Type="http://schemas.openxmlformats.org/officeDocument/2006/relationships/hyperlink" Target="https://doi.org/10.1108/jefas-12-2021-0267" TargetMode="External"/><Relationship Id="rId38" Type="http://schemas.openxmlformats.org/officeDocument/2006/relationships/hyperlink" Target="https://doi.org/10.26522/ssj.v15i2.2657" TargetMode="External"/><Relationship Id="rId46" Type="http://schemas.openxmlformats.org/officeDocument/2006/relationships/hyperlink" Target="https://doi.org/10.1371/journal.pone.0152637" TargetMode="External"/><Relationship Id="rId20" Type="http://schemas.openxmlformats.org/officeDocument/2006/relationships/hyperlink" Target="https://www.soilcare-project.eu/resources/glossary" TargetMode="External"/><Relationship Id="rId41" Type="http://schemas.openxmlformats.org/officeDocument/2006/relationships/hyperlink" Target="https://www.uu.nl/en/research/transdisciplinary-field-guide/get-started/what-is-transdisciplinary-research"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link.springer.com/chapter/10.1007/978-3-031-18923-4_6" TargetMode="External"/><Relationship Id="rId28" Type="http://schemas.openxmlformats.org/officeDocument/2006/relationships/hyperlink" Target="https://www.landis.org.uk/downloads/downloads/Glossary.pdf" TargetMode="External"/><Relationship Id="rId36" Type="http://schemas.openxmlformats.org/officeDocument/2006/relationships/hyperlink" Target="https://www.sbcguidance.org/understand/social-and-behaviour-change-communication" TargetMode="External"/><Relationship Id="rId49" Type="http://schemas.openxmlformats.org/officeDocument/2006/relationships/hyperlink" Target="https://doi.org/10.1126/science.1097396"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4236/AJPS.2018.99140" TargetMode="External"/><Relationship Id="rId44" Type="http://schemas.openxmlformats.org/officeDocument/2006/relationships/hyperlink" Target="https://doi.org/10.1007/978-3-030-62397-5_26" TargetMode="External"/><Relationship Id="rId52" Type="http://schemas.openxmlformats.org/officeDocument/2006/relationships/hyperlink" Target="https://www.millenniumassessmen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customXml/itemProps2.xml><?xml version="1.0" encoding="utf-8"?>
<ds:datastoreItem xmlns:ds="http://schemas.openxmlformats.org/officeDocument/2006/customXml" ds:itemID="{48FC1765-5846-463E-B56D-066BE7DE7CA1}"/>
</file>

<file path=customXml/itemProps3.xml><?xml version="1.0" encoding="utf-8"?>
<ds:datastoreItem xmlns:ds="http://schemas.openxmlformats.org/officeDocument/2006/customXml" ds:itemID="{1BF969EB-EA69-467B-AFCE-2832D0B14543}">
  <ds:schemaRefs>
    <ds:schemaRef ds:uri="http://schemas.microsoft.com/sharepoint/v3/contenttype/forms"/>
  </ds:schemaRefs>
</ds:datastoreItem>
</file>

<file path=customXml/itemProps4.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8922</Words>
  <Characters>50861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Ioanna Mantopoulou</cp:lastModifiedBy>
  <cp:revision>5</cp:revision>
  <dcterms:created xsi:type="dcterms:W3CDTF">2025-03-24T12:06:00Z</dcterms:created>
  <dcterms:modified xsi:type="dcterms:W3CDTF">2025-04-02T10:16:00Z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