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7B0BF3"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7B0BF3"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7B0BF3"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7B0BF3">
        <w:rPr>
          <w:rFonts w:ascii="Times New Roman" w:eastAsiaTheme="minorEastAsia" w:hAnsi="Times New Roman" w:cs="Times New Roman"/>
          <w:b/>
          <w:bCs/>
          <w:color w:val="8DD873" w:themeColor="accent6" w:themeTint="99"/>
          <w:kern w:val="24"/>
          <w:position w:val="1"/>
          <w:sz w:val="56"/>
          <w:szCs w:val="56"/>
          <w:lang w:val="nl" w:eastAsia="pl-PL"/>
        </w:rPr>
        <w:t>Verklarende woordenlijst</w:t>
      </w:r>
    </w:p>
    <w:p w14:paraId="1838F654" w14:textId="77777777" w:rsidR="00040F5F" w:rsidRPr="007B0BF3"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74"/>
        <w:gridCol w:w="357"/>
        <w:gridCol w:w="5615"/>
        <w:gridCol w:w="616"/>
      </w:tblGrid>
      <w:tr w:rsidR="002A67F8" w:rsidRPr="007B0BF3" w14:paraId="54E40605" w14:textId="77777777" w:rsidTr="2C6C7817">
        <w:tc>
          <w:tcPr>
            <w:tcW w:w="2062" w:type="dxa"/>
          </w:tcPr>
          <w:p w14:paraId="5C4EC49D" w14:textId="77777777" w:rsidR="002A67F8" w:rsidRPr="007B0BF3"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7B0BF3" w:rsidRDefault="002A67F8" w:rsidP="002A67F8">
            <w:pPr>
              <w:jc w:val="center"/>
              <w:rPr>
                <w:rFonts w:ascii="Times New Roman" w:hAnsi="Times New Roman" w:cs="Times New Roman"/>
                <w:lang w:val="en-GB"/>
              </w:rPr>
            </w:pPr>
          </w:p>
        </w:tc>
        <w:tc>
          <w:tcPr>
            <w:tcW w:w="5615" w:type="dxa"/>
          </w:tcPr>
          <w:p w14:paraId="3B30FB8A" w14:textId="77777777" w:rsidR="002A67F8" w:rsidRPr="007B0BF3" w:rsidRDefault="002A67F8" w:rsidP="002A67F8">
            <w:pPr>
              <w:jc w:val="center"/>
              <w:rPr>
                <w:rFonts w:ascii="Times New Roman" w:hAnsi="Times New Roman" w:cs="Times New Roman"/>
                <w:lang w:val="en-GB"/>
              </w:rPr>
            </w:pPr>
          </w:p>
        </w:tc>
        <w:tc>
          <w:tcPr>
            <w:tcW w:w="616" w:type="dxa"/>
          </w:tcPr>
          <w:p w14:paraId="612EA104" w14:textId="77777777" w:rsidR="002A67F8" w:rsidRPr="007B0BF3" w:rsidRDefault="002A67F8" w:rsidP="002A67F8">
            <w:pPr>
              <w:jc w:val="center"/>
              <w:rPr>
                <w:rFonts w:ascii="Times New Roman" w:hAnsi="Times New Roman" w:cs="Times New Roman"/>
                <w:lang w:val="en-GB"/>
              </w:rPr>
            </w:pPr>
          </w:p>
        </w:tc>
      </w:tr>
      <w:tr w:rsidR="006E7F98" w:rsidRPr="007B0BF3" w14:paraId="037975CB" w14:textId="77777777" w:rsidTr="2C6C7817">
        <w:tc>
          <w:tcPr>
            <w:tcW w:w="2062" w:type="dxa"/>
          </w:tcPr>
          <w:p w14:paraId="31B9AE80"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Aansprekende methoden</w:t>
            </w:r>
          </w:p>
        </w:tc>
        <w:tc>
          <w:tcPr>
            <w:tcW w:w="1469" w:type="dxa"/>
          </w:tcPr>
          <w:p w14:paraId="3B68307A" w14:textId="77777777" w:rsidR="006E7F98" w:rsidRPr="007B0BF3" w:rsidRDefault="006E7F98" w:rsidP="00A655ED">
            <w:pPr>
              <w:jc w:val="both"/>
              <w:rPr>
                <w:rFonts w:ascii="Times New Roman" w:hAnsi="Times New Roman" w:cs="Times New Roman"/>
                <w:lang w:val="en-GB"/>
              </w:rPr>
            </w:pPr>
          </w:p>
        </w:tc>
        <w:tc>
          <w:tcPr>
            <w:tcW w:w="5615" w:type="dxa"/>
          </w:tcPr>
          <w:p w14:paraId="27189934"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Innovatieve benaderingen die deelnemers actief bij het leerproces of de communicatie-activiteiten betrekken. Deze methoden zijn opgezet om interactie, samenwerking en kritisch denken te stimuleren en de doeltreffendheid van onderwijs- en communicatie-initiatieven te versterken. Ze worden gekenmerkt door interactiviteit, relevantie, feedbackmechanismen en het gebruik van technologie.</w:t>
            </w:r>
          </w:p>
        </w:tc>
        <w:tc>
          <w:tcPr>
            <w:tcW w:w="616" w:type="dxa"/>
          </w:tcPr>
          <w:p w14:paraId="75BA3468"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27</w:t>
            </w:r>
          </w:p>
        </w:tc>
      </w:tr>
      <w:tr w:rsidR="006E7F98" w:rsidRPr="007B0BF3" w14:paraId="5FF127E8" w14:textId="77777777" w:rsidTr="2C6C7817">
        <w:tc>
          <w:tcPr>
            <w:tcW w:w="2062" w:type="dxa"/>
          </w:tcPr>
          <w:p w14:paraId="65A89189" w14:textId="77777777" w:rsidR="006E7F98" w:rsidRPr="007B0BF3" w:rsidRDefault="006E7F98" w:rsidP="4F734429">
            <w:pPr>
              <w:rPr>
                <w:rFonts w:ascii="Times New Roman" w:hAnsi="Times New Roman" w:cs="Times New Roman"/>
                <w:b/>
                <w:bCs/>
                <w:color w:val="3A7C22" w:themeColor="accent6" w:themeShade="BF"/>
                <w:lang w:val="en-GB"/>
              </w:rPr>
            </w:pPr>
            <w:r w:rsidRPr="007B0BF3">
              <w:rPr>
                <w:rFonts w:ascii="Times New Roman" w:hAnsi="Times New Roman" w:cs="Times New Roman"/>
                <w:b/>
                <w:bCs/>
                <w:color w:val="3A7C22" w:themeColor="accent6" w:themeShade="BF"/>
                <w:lang w:val="nl"/>
              </w:rPr>
              <w:t>Adsorptie</w:t>
            </w:r>
          </w:p>
        </w:tc>
        <w:tc>
          <w:tcPr>
            <w:tcW w:w="1469" w:type="dxa"/>
          </w:tcPr>
          <w:p w14:paraId="0EE415BB" w14:textId="77777777" w:rsidR="006E7F98" w:rsidRPr="007B0BF3" w:rsidRDefault="006E7F98" w:rsidP="002A67F8">
            <w:pPr>
              <w:jc w:val="both"/>
              <w:rPr>
                <w:rFonts w:ascii="Times New Roman" w:hAnsi="Times New Roman" w:cs="Times New Roman"/>
                <w:lang w:val="en-GB"/>
              </w:rPr>
            </w:pPr>
          </w:p>
        </w:tc>
        <w:tc>
          <w:tcPr>
            <w:tcW w:w="5615" w:type="dxa"/>
          </w:tcPr>
          <w:p w14:paraId="5F225C0E"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proces waarbij atomen, moleculen of ionen op de oppervlakken van vast stoffen worden vastgehouden door chemische of fysische binding. Absorptie is gebaseerd op de absorptie van dampen, gassen en niet-gedissocieerde moleculen.</w:t>
            </w:r>
          </w:p>
        </w:tc>
        <w:tc>
          <w:tcPr>
            <w:tcW w:w="616" w:type="dxa"/>
          </w:tcPr>
          <w:p w14:paraId="44327CF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3A80DB67" w14:textId="77777777" w:rsidTr="2C6C7817">
        <w:tc>
          <w:tcPr>
            <w:tcW w:w="2062" w:type="dxa"/>
          </w:tcPr>
          <w:p w14:paraId="4194EC1D"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Antropogeen</w:t>
            </w:r>
          </w:p>
        </w:tc>
        <w:tc>
          <w:tcPr>
            <w:tcW w:w="1469" w:type="dxa"/>
          </w:tcPr>
          <w:p w14:paraId="0932DF8B" w14:textId="77777777" w:rsidR="006E7F98" w:rsidRPr="007B0BF3" w:rsidRDefault="006E7F98" w:rsidP="002A67F8">
            <w:pPr>
              <w:jc w:val="both"/>
              <w:rPr>
                <w:rFonts w:ascii="Times New Roman" w:hAnsi="Times New Roman" w:cs="Times New Roman"/>
                <w:lang w:val="en-GB"/>
              </w:rPr>
            </w:pPr>
          </w:p>
        </w:tc>
        <w:tc>
          <w:tcPr>
            <w:tcW w:w="5615" w:type="dxa"/>
          </w:tcPr>
          <w:p w14:paraId="7FB68426"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Gegenereerd door mensen. Wat betreft bodem verwijst deze term naar omstandigheden, verstoringen of spanningen die door menselijke activiteiten worden gecreëerd.</w:t>
            </w:r>
          </w:p>
        </w:tc>
        <w:tc>
          <w:tcPr>
            <w:tcW w:w="616" w:type="dxa"/>
          </w:tcPr>
          <w:p w14:paraId="17F8AFE6"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0E669FA1" w14:textId="77777777" w:rsidTr="2C6C7817">
        <w:tc>
          <w:tcPr>
            <w:tcW w:w="2062" w:type="dxa"/>
          </w:tcPr>
          <w:p w14:paraId="7C6DD7E1"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Basenverzadiging</w:t>
            </w:r>
          </w:p>
        </w:tc>
        <w:tc>
          <w:tcPr>
            <w:tcW w:w="1469" w:type="dxa"/>
          </w:tcPr>
          <w:p w14:paraId="1CFFCE4C" w14:textId="77777777" w:rsidR="006E7F98" w:rsidRPr="007B0BF3" w:rsidRDefault="006E7F98" w:rsidP="002A67F8">
            <w:pPr>
              <w:tabs>
                <w:tab w:val="left" w:pos="262"/>
              </w:tabs>
              <w:jc w:val="both"/>
              <w:rPr>
                <w:rFonts w:ascii="Times New Roman" w:hAnsi="Times New Roman" w:cs="Times New Roman"/>
                <w:lang w:val="en-GB"/>
              </w:rPr>
            </w:pPr>
          </w:p>
        </w:tc>
        <w:tc>
          <w:tcPr>
            <w:tcW w:w="5615" w:type="dxa"/>
          </w:tcPr>
          <w:p w14:paraId="1C9A0151" w14:textId="77777777" w:rsidR="006E7F98" w:rsidRPr="007B0BF3" w:rsidRDefault="006E7F98" w:rsidP="002A67F8">
            <w:pPr>
              <w:tabs>
                <w:tab w:val="left" w:pos="262"/>
              </w:tabs>
              <w:jc w:val="both"/>
              <w:rPr>
                <w:rFonts w:ascii="Times New Roman" w:hAnsi="Times New Roman" w:cs="Times New Roman"/>
                <w:lang w:val="nl-NL"/>
              </w:rPr>
            </w:pPr>
            <w:r w:rsidRPr="007B0BF3">
              <w:rPr>
                <w:rFonts w:ascii="Times New Roman" w:hAnsi="Times New Roman" w:cs="Times New Roman"/>
                <w:lang w:val="nl"/>
              </w:rPr>
              <w:t>De mate waarin een bodem met kationenuitwisselingseigenschappen is verzadigd met uitwisselbare basen (som van Ca, Mg, Na, K), uitgedrukt als een percentage van de totale kationenuitwisselingscapaciteit.</w:t>
            </w:r>
          </w:p>
        </w:tc>
        <w:tc>
          <w:tcPr>
            <w:tcW w:w="616" w:type="dxa"/>
          </w:tcPr>
          <w:p w14:paraId="5B3153B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6E42CB85" w14:textId="77777777" w:rsidTr="2C6C7817">
        <w:tc>
          <w:tcPr>
            <w:tcW w:w="2062" w:type="dxa"/>
          </w:tcPr>
          <w:p w14:paraId="1206A3C8"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Bemesting</w:t>
            </w:r>
          </w:p>
        </w:tc>
        <w:tc>
          <w:tcPr>
            <w:tcW w:w="1469" w:type="dxa"/>
          </w:tcPr>
          <w:p w14:paraId="23C5DD4A" w14:textId="77777777" w:rsidR="006E7F98" w:rsidRPr="007B0BF3" w:rsidRDefault="006E7F98" w:rsidP="00525540">
            <w:pPr>
              <w:jc w:val="both"/>
              <w:rPr>
                <w:rFonts w:ascii="Times New Roman" w:hAnsi="Times New Roman" w:cs="Times New Roman"/>
                <w:lang w:val="en-GB"/>
              </w:rPr>
            </w:pPr>
          </w:p>
        </w:tc>
        <w:tc>
          <w:tcPr>
            <w:tcW w:w="5615" w:type="dxa"/>
          </w:tcPr>
          <w:p w14:paraId="78C72B1C"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aanbrengen van minerale of organische stoffen om de bodemvruchtbaarheid te behouden of verhogen. In sommige gevallen (bijv. kalken) is het doel van bemesting tevens het verbeteren van specifieke bodemeigenschappen (pH, stabiliteit van de bodemstructuur).</w:t>
            </w:r>
          </w:p>
        </w:tc>
        <w:tc>
          <w:tcPr>
            <w:tcW w:w="616" w:type="dxa"/>
          </w:tcPr>
          <w:p w14:paraId="0BCDB91A"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6DEE8E16" w14:textId="77777777" w:rsidTr="2C6C7817">
        <w:tc>
          <w:tcPr>
            <w:tcW w:w="2062" w:type="dxa"/>
          </w:tcPr>
          <w:p w14:paraId="1386AC8C" w14:textId="77777777" w:rsidR="006E7F98" w:rsidRPr="007B0BF3" w:rsidRDefault="006E7F98" w:rsidP="002A67F8">
            <w:pPr>
              <w:rPr>
                <w:rFonts w:ascii="Times New Roman" w:hAnsi="Times New Roman" w:cs="Times New Roman"/>
                <w:b/>
                <w:lang w:val="en-GB"/>
              </w:rPr>
            </w:pPr>
            <w:r w:rsidRPr="007B0BF3">
              <w:rPr>
                <w:rFonts w:ascii="Times New Roman" w:hAnsi="Times New Roman" w:cs="Times New Roman"/>
                <w:b/>
                <w:color w:val="3A7C22" w:themeColor="accent6" w:themeShade="BF"/>
                <w:lang w:val="nl"/>
              </w:rPr>
              <w:t>Biodiversiteit</w:t>
            </w:r>
          </w:p>
        </w:tc>
        <w:tc>
          <w:tcPr>
            <w:tcW w:w="1469" w:type="dxa"/>
          </w:tcPr>
          <w:p w14:paraId="30963AD2" w14:textId="77777777" w:rsidR="006E7F98" w:rsidRPr="007B0BF3" w:rsidRDefault="006E7F98" w:rsidP="002A67F8">
            <w:pPr>
              <w:jc w:val="both"/>
              <w:rPr>
                <w:rFonts w:ascii="Times New Roman" w:hAnsi="Times New Roman" w:cs="Times New Roman"/>
                <w:lang w:val="en-GB"/>
              </w:rPr>
            </w:pPr>
          </w:p>
        </w:tc>
        <w:tc>
          <w:tcPr>
            <w:tcW w:w="5615" w:type="dxa"/>
          </w:tcPr>
          <w:p w14:paraId="0E5B5A77" w14:textId="77777777" w:rsidR="006E7F98" w:rsidRPr="007B0BF3" w:rsidRDefault="006E7F98" w:rsidP="00AC40AC">
            <w:pPr>
              <w:jc w:val="both"/>
              <w:rPr>
                <w:rFonts w:ascii="Times New Roman" w:hAnsi="Times New Roman" w:cs="Times New Roman"/>
                <w:lang w:val="nl-NL"/>
              </w:rPr>
            </w:pPr>
            <w:r w:rsidRPr="007B0BF3">
              <w:rPr>
                <w:rFonts w:ascii="Times New Roman" w:hAnsi="Times New Roman" w:cs="Times New Roman"/>
                <w:lang w:val="nl"/>
              </w:rPr>
              <w:t>De variëteit van het leven op aarde op alle niveaus, waaronder genetische diversiteit binnen soorten, de diversiteit van soorten zelf en de diversiteit van ecosystemen. Het omvat het scala aan planten, dieren, schimmels, micro-organismen en de ecologische complexen waarvan ze deel uitmaken. Biodiversiteit is essentieel voor de stabiliteit en veerkracht van ecosystemen, aangezien ze de basis vormt van de processen die het leven onderhouden, zoals de voedingsstoffenkringloop, bestuiving, bodemvorming en klimaatregeling.</w:t>
            </w:r>
          </w:p>
          <w:p w14:paraId="61AA4857" w14:textId="77777777" w:rsidR="006E7F98" w:rsidRPr="007B0BF3" w:rsidRDefault="006E7F98" w:rsidP="00AC40AC">
            <w:pPr>
              <w:jc w:val="both"/>
              <w:rPr>
                <w:rFonts w:ascii="Times New Roman" w:hAnsi="Times New Roman" w:cs="Times New Roman"/>
                <w:lang w:val="nl-NL"/>
              </w:rPr>
            </w:pPr>
            <w:r w:rsidRPr="007B0BF3">
              <w:rPr>
                <w:rFonts w:ascii="Times New Roman" w:hAnsi="Times New Roman" w:cs="Times New Roman"/>
                <w:lang w:val="nl"/>
              </w:rPr>
              <w:t xml:space="preserve">De functies van biodiversiteit zijn kritiek voor zowel natuurlijke ecosystemen als het menselijk welzijn. Biodiversiteit biedt ecosysteemdiensten zoals voedsel, schoon water, geneesmiddelen en grondstoffen, en draagt tegelijkertijd bij aan culturele, recreatieve en esthetische waarden. Biodiversiteit versterkt de productiviteit en veerkracht van ecosystemen, waardoor ecosystemen kunnen herstellen van verstoringen en zich kunnen aanpassen aan veranderingen, zoals veroorzaakt door klimaatverandering. Het verlies van biodiversiteit, aangedreven door </w:t>
            </w:r>
            <w:r w:rsidRPr="007B0BF3">
              <w:rPr>
                <w:rFonts w:ascii="Times New Roman" w:hAnsi="Times New Roman" w:cs="Times New Roman"/>
                <w:lang w:val="nl"/>
              </w:rPr>
              <w:lastRenderedPageBreak/>
              <w:t>habitatvernietiging, vervuiling, overexploitatie en invasieve soorten, bedreigt deze vitale functies en diensten.</w:t>
            </w:r>
          </w:p>
        </w:tc>
        <w:tc>
          <w:tcPr>
            <w:tcW w:w="616" w:type="dxa"/>
          </w:tcPr>
          <w:p w14:paraId="5CA62BE3"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39</w:t>
            </w:r>
          </w:p>
        </w:tc>
      </w:tr>
      <w:tr w:rsidR="006E7F98" w:rsidRPr="007B0BF3" w14:paraId="0E88D38F" w14:textId="77777777" w:rsidTr="2C6C7817">
        <w:tc>
          <w:tcPr>
            <w:tcW w:w="2062" w:type="dxa"/>
          </w:tcPr>
          <w:p w14:paraId="73CDCE09"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Biologische landbouw</w:t>
            </w:r>
          </w:p>
        </w:tc>
        <w:tc>
          <w:tcPr>
            <w:tcW w:w="1469" w:type="dxa"/>
          </w:tcPr>
          <w:p w14:paraId="39662CC6" w14:textId="77777777" w:rsidR="006E7F98" w:rsidRPr="007B0BF3" w:rsidRDefault="006E7F98" w:rsidP="00525540">
            <w:pPr>
              <w:jc w:val="both"/>
              <w:rPr>
                <w:rFonts w:ascii="Times New Roman" w:hAnsi="Times New Roman" w:cs="Times New Roman"/>
                <w:lang w:val="en-GB"/>
              </w:rPr>
            </w:pPr>
          </w:p>
        </w:tc>
        <w:tc>
          <w:tcPr>
            <w:tcW w:w="5615" w:type="dxa"/>
          </w:tcPr>
          <w:p w14:paraId="1FD08B5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Productiesysteem waarbij synthetische chemische stoffen worden vermeden en natuurlijke gewasteelt- en veehouderijpraktijken worden bevorderd. Prioriteit wordt gesteld aan milieu- en bodemgezondheid, terwijl genetisch gemodificeerde organismen (gmo's), synthetische pesticiden en antibiotica worden vermeden. Vertrouwt op ecologische processen, biodiversiteit en cycli die aan de lokale omstandigheden aangepast zijn, in plaats van het gebruik van input met schadelijke effecten.</w:t>
            </w:r>
          </w:p>
        </w:tc>
        <w:tc>
          <w:tcPr>
            <w:tcW w:w="616" w:type="dxa"/>
          </w:tcPr>
          <w:p w14:paraId="1E7F23B0"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456D13B9" w14:textId="77777777" w:rsidTr="2C6C7817">
        <w:tc>
          <w:tcPr>
            <w:tcW w:w="2062" w:type="dxa"/>
          </w:tcPr>
          <w:p w14:paraId="3228C667"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Biomassa</w:t>
            </w:r>
          </w:p>
        </w:tc>
        <w:tc>
          <w:tcPr>
            <w:tcW w:w="1469" w:type="dxa"/>
          </w:tcPr>
          <w:p w14:paraId="615032C2" w14:textId="77777777" w:rsidR="006E7F98" w:rsidRPr="007B0BF3" w:rsidRDefault="006E7F98" w:rsidP="002A67F8">
            <w:pPr>
              <w:jc w:val="both"/>
              <w:rPr>
                <w:rFonts w:ascii="Times New Roman" w:hAnsi="Times New Roman" w:cs="Times New Roman"/>
                <w:lang w:val="en-GB"/>
              </w:rPr>
            </w:pPr>
          </w:p>
        </w:tc>
        <w:tc>
          <w:tcPr>
            <w:tcW w:w="5615" w:type="dxa"/>
          </w:tcPr>
          <w:p w14:paraId="5CB83868"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Organisch materiaal van biologische oorsprong (planten en dieren). De term kan gebruikt worden voor agro-industriële uitstromen en afvalstoffen, energiegewassen, materialen die uit de natuur worden geoogst (bijv. hout) of de organische afvalstoffen. Biomassa kan worden gebruikt om de bodemvruchtbaarheid en -gezondheid te verbeteren, om de koolstofopslag te verhogen of als een alternatief voor fossiele grondstoffen in bioraffinaderijen en industriële processen, als een grondstof voor de productie van biobrandstoffen.</w:t>
            </w:r>
          </w:p>
        </w:tc>
        <w:tc>
          <w:tcPr>
            <w:tcW w:w="616" w:type="dxa"/>
          </w:tcPr>
          <w:p w14:paraId="2258D842"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4E495910" w14:textId="77777777" w:rsidTr="2C6C7817">
        <w:tc>
          <w:tcPr>
            <w:tcW w:w="2062" w:type="dxa"/>
          </w:tcPr>
          <w:p w14:paraId="049A7F7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w:t>
            </w:r>
          </w:p>
        </w:tc>
        <w:tc>
          <w:tcPr>
            <w:tcW w:w="1469" w:type="dxa"/>
          </w:tcPr>
          <w:p w14:paraId="3617E6B8" w14:textId="77777777" w:rsidR="006E7F98" w:rsidRPr="007B0BF3" w:rsidRDefault="006E7F98" w:rsidP="00525540">
            <w:pPr>
              <w:jc w:val="both"/>
              <w:rPr>
                <w:rFonts w:ascii="Times New Roman" w:hAnsi="Times New Roman" w:cs="Times New Roman"/>
                <w:lang w:val="en-GB"/>
              </w:rPr>
            </w:pPr>
          </w:p>
        </w:tc>
        <w:tc>
          <w:tcPr>
            <w:tcW w:w="5615" w:type="dxa"/>
          </w:tcPr>
          <w:p w14:paraId="4DFB046C"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biologisch actieve, poreuze medium dat in de bovenste laag van de aardkorst is ontstaan en dat een van de voornaamste substraten voor het leven op aarde is. Bodem is een complex, dynamisch en levend systeem dat in de loop van de tijd ontstaat door de interactie van fysische, chemische en biologische processen. Het bestaat uit minerale deeltjes van variërende grootte, organische materie, water en lucht, die alle met elkaar interactie aangaan om een matrix te vormen die plantengroei ondersteunt en een leefgebied voor bodemorganismen biedt.</w:t>
            </w:r>
          </w:p>
        </w:tc>
        <w:tc>
          <w:tcPr>
            <w:tcW w:w="616" w:type="dxa"/>
          </w:tcPr>
          <w:p w14:paraId="31E58C6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w:t>
            </w:r>
          </w:p>
        </w:tc>
      </w:tr>
      <w:tr w:rsidR="006E7F98" w:rsidRPr="007B0BF3" w14:paraId="1D9EF8A8" w14:textId="77777777" w:rsidTr="2C6C7817">
        <w:tc>
          <w:tcPr>
            <w:tcW w:w="2062" w:type="dxa"/>
          </w:tcPr>
          <w:p w14:paraId="6EEA9360"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Bodemaantasting</w:t>
            </w:r>
          </w:p>
        </w:tc>
        <w:tc>
          <w:tcPr>
            <w:tcW w:w="1469" w:type="dxa"/>
          </w:tcPr>
          <w:p w14:paraId="3824BE8A" w14:textId="77777777" w:rsidR="006E7F98" w:rsidRPr="007B0BF3" w:rsidRDefault="006E7F98" w:rsidP="00525540">
            <w:pPr>
              <w:jc w:val="both"/>
              <w:rPr>
                <w:rFonts w:ascii="Times New Roman" w:hAnsi="Times New Roman" w:cs="Times New Roman"/>
                <w:lang w:val="en-GB"/>
              </w:rPr>
            </w:pPr>
          </w:p>
        </w:tc>
        <w:tc>
          <w:tcPr>
            <w:tcW w:w="5615" w:type="dxa"/>
          </w:tcPr>
          <w:p w14:paraId="74AE86E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Negatief proces dat vaak versneld wordt door menselijke activiteiten (verkeerd bodemgebruik, verkeerde teeltpraktijken, bodemafdekking) en dat leidt tot verslechtering van de bodemeigenschappen en -functies of vernietiging van de bodem als geheel, bijv. verdichting, erosie, verzilting.</w:t>
            </w:r>
          </w:p>
        </w:tc>
        <w:tc>
          <w:tcPr>
            <w:tcW w:w="616" w:type="dxa"/>
          </w:tcPr>
          <w:p w14:paraId="667B274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2,3</w:t>
            </w:r>
          </w:p>
        </w:tc>
      </w:tr>
      <w:tr w:rsidR="006E7F98" w:rsidRPr="007B0BF3" w14:paraId="061694F4" w14:textId="77777777" w:rsidTr="2C6C7817">
        <w:tc>
          <w:tcPr>
            <w:tcW w:w="2062" w:type="dxa"/>
          </w:tcPr>
          <w:p w14:paraId="76B61666"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Bodemaggregaten</w:t>
            </w:r>
          </w:p>
        </w:tc>
        <w:tc>
          <w:tcPr>
            <w:tcW w:w="1469" w:type="dxa"/>
          </w:tcPr>
          <w:p w14:paraId="4286514C" w14:textId="77777777" w:rsidR="006E7F98" w:rsidRPr="007B0BF3" w:rsidRDefault="006E7F98" w:rsidP="00525540">
            <w:pPr>
              <w:jc w:val="both"/>
              <w:rPr>
                <w:rFonts w:ascii="Times New Roman" w:hAnsi="Times New Roman" w:cs="Times New Roman"/>
                <w:lang w:val="en-GB"/>
              </w:rPr>
            </w:pPr>
          </w:p>
        </w:tc>
        <w:tc>
          <w:tcPr>
            <w:tcW w:w="5615" w:type="dxa"/>
          </w:tcPr>
          <w:p w14:paraId="35E9AF65"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lang w:val="nl"/>
              </w:rPr>
              <w:t>Bodemaggregaten bestaan uit twee of meer deeltjes die door diverse krachten aan elkaar gebonden zijn. Bodemaggregaten zijn kluiten van uiteenlopende vormen en grootten.</w:t>
            </w:r>
          </w:p>
        </w:tc>
        <w:tc>
          <w:tcPr>
            <w:tcW w:w="616" w:type="dxa"/>
          </w:tcPr>
          <w:p w14:paraId="60FA86E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603F3AC3" w14:textId="77777777" w:rsidTr="2C6C7817">
        <w:tc>
          <w:tcPr>
            <w:tcW w:w="2062" w:type="dxa"/>
          </w:tcPr>
          <w:p w14:paraId="2B5D153B"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 xml:space="preserve">Bodembescherming </w:t>
            </w:r>
          </w:p>
        </w:tc>
        <w:tc>
          <w:tcPr>
            <w:tcW w:w="1469" w:type="dxa"/>
          </w:tcPr>
          <w:p w14:paraId="2D0441F1" w14:textId="77777777" w:rsidR="006E7F98" w:rsidRPr="007B0BF3" w:rsidRDefault="006E7F98" w:rsidP="00525540">
            <w:pPr>
              <w:jc w:val="both"/>
              <w:rPr>
                <w:rFonts w:ascii="Times New Roman" w:hAnsi="Times New Roman" w:cs="Times New Roman"/>
                <w:lang w:val="en-GB"/>
              </w:rPr>
            </w:pPr>
          </w:p>
        </w:tc>
        <w:tc>
          <w:tcPr>
            <w:tcW w:w="5615" w:type="dxa"/>
          </w:tcPr>
          <w:p w14:paraId="1762754C"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Een bewust proces dat nodig is om de bodem en de eigenschappen ervan te behouden, uitgevoerd op verschillende niveaus (persoonlijk, lokaal, nationaal, continentaal) en met gebruik van informatie uit bodemonderzoek voor het duurzame beheer van bodems.</w:t>
            </w:r>
          </w:p>
        </w:tc>
        <w:tc>
          <w:tcPr>
            <w:tcW w:w="616" w:type="dxa"/>
          </w:tcPr>
          <w:p w14:paraId="373AA7A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3867E286" w14:textId="77777777" w:rsidTr="2C6C7817">
        <w:tc>
          <w:tcPr>
            <w:tcW w:w="2062" w:type="dxa"/>
          </w:tcPr>
          <w:p w14:paraId="74BE3D67"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Bodemcapaciteit</w:t>
            </w:r>
          </w:p>
        </w:tc>
        <w:tc>
          <w:tcPr>
            <w:tcW w:w="1469" w:type="dxa"/>
          </w:tcPr>
          <w:p w14:paraId="41468E35" w14:textId="77777777" w:rsidR="006E7F98" w:rsidRPr="007B0BF3" w:rsidRDefault="006E7F98" w:rsidP="00525540">
            <w:pPr>
              <w:jc w:val="both"/>
              <w:rPr>
                <w:rFonts w:ascii="Times New Roman" w:hAnsi="Times New Roman" w:cs="Times New Roman"/>
                <w:lang w:val="en-GB"/>
              </w:rPr>
            </w:pPr>
          </w:p>
        </w:tc>
        <w:tc>
          <w:tcPr>
            <w:tcW w:w="5615" w:type="dxa"/>
          </w:tcPr>
          <w:p w14:paraId="4ACA4F69"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intrinsieke capaciteit van een bodem om bodemfuncties te leveren/vervullen.</w:t>
            </w:r>
          </w:p>
        </w:tc>
        <w:tc>
          <w:tcPr>
            <w:tcW w:w="616" w:type="dxa"/>
          </w:tcPr>
          <w:p w14:paraId="4E5545E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w:t>
            </w:r>
          </w:p>
        </w:tc>
      </w:tr>
      <w:tr w:rsidR="006E7F98" w:rsidRPr="007B0BF3" w14:paraId="2212E244" w14:textId="77777777" w:rsidTr="2C6C7817">
        <w:tc>
          <w:tcPr>
            <w:tcW w:w="2062" w:type="dxa"/>
          </w:tcPr>
          <w:p w14:paraId="0469F138"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Bodemecosysteemdiensten</w:t>
            </w:r>
          </w:p>
        </w:tc>
        <w:tc>
          <w:tcPr>
            <w:tcW w:w="1469" w:type="dxa"/>
          </w:tcPr>
          <w:p w14:paraId="6F57B035" w14:textId="77777777" w:rsidR="006E7F98" w:rsidRPr="007B0BF3" w:rsidRDefault="006E7F98" w:rsidP="00525540">
            <w:pPr>
              <w:jc w:val="both"/>
              <w:rPr>
                <w:rFonts w:ascii="Times New Roman" w:hAnsi="Times New Roman" w:cs="Times New Roman"/>
                <w:lang w:val="en-GB"/>
              </w:rPr>
            </w:pPr>
          </w:p>
        </w:tc>
        <w:tc>
          <w:tcPr>
            <w:tcW w:w="5615" w:type="dxa"/>
          </w:tcPr>
          <w:p w14:paraId="120FCA4E"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met de bodem verband houdende subset van ecosysteemdiensten die direct en kwantificeerbaar worden geregeld of geleverd door bodems en de chemische, fysische en biologische eigenschappen, processen en functies ervan.</w:t>
            </w:r>
          </w:p>
        </w:tc>
        <w:tc>
          <w:tcPr>
            <w:tcW w:w="616" w:type="dxa"/>
          </w:tcPr>
          <w:p w14:paraId="02D0DF4B"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w:t>
            </w:r>
          </w:p>
        </w:tc>
      </w:tr>
      <w:tr w:rsidR="006E7F98" w:rsidRPr="007B0BF3" w14:paraId="52484E16" w14:textId="77777777" w:rsidTr="2C6C7817">
        <w:tc>
          <w:tcPr>
            <w:tcW w:w="2062" w:type="dxa"/>
          </w:tcPr>
          <w:p w14:paraId="497F1004"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Bodemerosie</w:t>
            </w:r>
          </w:p>
        </w:tc>
        <w:tc>
          <w:tcPr>
            <w:tcW w:w="1469" w:type="dxa"/>
          </w:tcPr>
          <w:p w14:paraId="2A96349C" w14:textId="77777777" w:rsidR="006E7F98" w:rsidRPr="007B0BF3" w:rsidRDefault="006E7F98" w:rsidP="002A67F8">
            <w:pPr>
              <w:jc w:val="both"/>
              <w:rPr>
                <w:rFonts w:ascii="Times New Roman" w:hAnsi="Times New Roman" w:cs="Times New Roman"/>
                <w:lang w:val="en-GB"/>
              </w:rPr>
            </w:pPr>
          </w:p>
        </w:tc>
        <w:tc>
          <w:tcPr>
            <w:tcW w:w="5615" w:type="dxa"/>
          </w:tcPr>
          <w:p w14:paraId="5F6CFF44" w14:textId="77777777" w:rsidR="006E7F98" w:rsidRPr="007B0BF3" w:rsidRDefault="006E7F98" w:rsidP="00E03E8D">
            <w:pPr>
              <w:jc w:val="both"/>
              <w:rPr>
                <w:rFonts w:ascii="Times New Roman" w:hAnsi="Times New Roman" w:cs="Times New Roman"/>
                <w:lang w:val="nl-NL"/>
              </w:rPr>
            </w:pPr>
            <w:bookmarkStart w:id="0" w:name="_Hlk187700130"/>
            <w:r w:rsidRPr="007B0BF3">
              <w:rPr>
                <w:rFonts w:ascii="Times New Roman" w:hAnsi="Times New Roman" w:cs="Times New Roman"/>
                <w:lang w:val="nl"/>
              </w:rPr>
              <w:t xml:space="preserve">Erosie is de verwijdering van land of bodem door een of meer processen. De voornaamste oorzaken van erosie zijn de werking van water (ril-, tussenril-, geul-, sneeuwsmelt- en rivier- en -meeroevererosie), wind (uitdroging en verstuiving), translocatie (bodembewerking, landegalisatie, </w:t>
            </w:r>
            <w:r w:rsidRPr="007B0BF3">
              <w:rPr>
                <w:rFonts w:ascii="Times New Roman" w:hAnsi="Times New Roman" w:cs="Times New Roman"/>
                <w:lang w:val="nl"/>
              </w:rPr>
              <w:lastRenderedPageBreak/>
              <w:t xml:space="preserve">oogsten van wortelgewassen, vertrapping en gravende dieren) en geologische factoren (interne onderaardse erosie door grondwater, kusterosie en aardverschuivingen). Erosie kan ook versterkt worden door slecht landbeheer zoals overbegrazing, ontbossing of ongepast gebruik van mechanisatie (bijv. ploegen in de richting van de helling). </w:t>
            </w:r>
          </w:p>
          <w:bookmarkEnd w:id="0"/>
          <w:p w14:paraId="7389AF30" w14:textId="77777777" w:rsidR="006E7F98" w:rsidRPr="007B0BF3" w:rsidRDefault="006E7F98" w:rsidP="00E03E8D">
            <w:pPr>
              <w:jc w:val="both"/>
              <w:rPr>
                <w:rFonts w:ascii="Times New Roman" w:hAnsi="Times New Roman" w:cs="Times New Roman"/>
                <w:lang w:val="nl-NL"/>
              </w:rPr>
            </w:pPr>
            <w:r w:rsidRPr="007B0BF3">
              <w:rPr>
                <w:rFonts w:ascii="Times New Roman" w:hAnsi="Times New Roman" w:cs="Times New Roman"/>
                <w:lang w:val="nl"/>
              </w:rPr>
              <w:t xml:space="preserve">Voorbeeld van bodemerosieprofiel naar </w:t>
            </w:r>
            <w:r w:rsidRPr="007B0BF3">
              <w:rPr>
                <w:rFonts w:ascii="Times New Roman" w:hAnsi="Times New Roman" w:cs="Times New Roman"/>
                <w:color w:val="000000" w:themeColor="text1"/>
                <w:lang w:val="nl"/>
              </w:rPr>
              <w:t xml:space="preserve">Radziuk en Świtoniak (2022; </w:t>
            </w:r>
            <w:r w:rsidRPr="007B0BF3">
              <w:rPr>
                <w:rFonts w:ascii="Times New Roman" w:hAnsi="Times New Roman" w:cs="Times New Roman"/>
                <w:lang w:val="nl"/>
              </w:rPr>
              <w:t>6).</w:t>
            </w:r>
          </w:p>
          <w:p w14:paraId="0412BC54" w14:textId="77777777" w:rsidR="006E7F98" w:rsidRPr="007B0BF3" w:rsidRDefault="006E7F98" w:rsidP="00E03E8D">
            <w:pPr>
              <w:jc w:val="both"/>
              <w:rPr>
                <w:rFonts w:ascii="Times New Roman" w:hAnsi="Times New Roman" w:cs="Times New Roman"/>
                <w:lang w:val="nl-NL"/>
              </w:rPr>
            </w:pPr>
          </w:p>
          <w:p w14:paraId="5DCF879B" w14:textId="77777777" w:rsidR="006E7F98" w:rsidRPr="007B0BF3" w:rsidRDefault="006E7F98" w:rsidP="002A67F8">
            <w:pPr>
              <w:jc w:val="both"/>
              <w:rPr>
                <w:rFonts w:ascii="Times New Roman" w:hAnsi="Times New Roman" w:cs="Times New Roman"/>
                <w:lang w:val="en-GB"/>
              </w:rPr>
            </w:pPr>
            <w:r w:rsidRPr="007B0BF3">
              <w:rPr>
                <w:rFonts w:ascii="Times New Roman" w:hAnsi="Times New Roman" w:cs="Times New Roman"/>
                <w:noProof/>
                <w:lang w:val="nl"/>
              </w:rPr>
              <w:drawing>
                <wp:inline distT="0" distB="0" distL="0" distR="0" wp14:anchorId="7281FB53" wp14:editId="7F938CB2">
                  <wp:extent cx="3393110" cy="321475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1980" cy="3223160"/>
                          </a:xfrm>
                          <a:prstGeom prst="rect">
                            <a:avLst/>
                          </a:prstGeom>
                        </pic:spPr>
                      </pic:pic>
                    </a:graphicData>
                  </a:graphic>
                </wp:inline>
              </w:drawing>
            </w:r>
          </w:p>
          <w:p w14:paraId="7D921BC6" w14:textId="77777777" w:rsidR="006E7F98" w:rsidRPr="007B0BF3" w:rsidRDefault="006E7F98" w:rsidP="002A67F8">
            <w:pPr>
              <w:jc w:val="both"/>
              <w:rPr>
                <w:rStyle w:val="Hyperlink"/>
                <w:rFonts w:ascii="Times New Roman" w:hAnsi="Times New Roman" w:cs="Times New Roman"/>
                <w:color w:val="000000" w:themeColor="text1"/>
                <w:u w:val="none"/>
              </w:rPr>
            </w:pPr>
            <w:r w:rsidRPr="007B0BF3">
              <w:rPr>
                <w:rFonts w:ascii="Times New Roman" w:hAnsi="Times New Roman" w:cs="Times New Roman"/>
              </w:rPr>
              <w:t>Bron:</w:t>
            </w:r>
            <w:r w:rsidRPr="007B0BF3">
              <w:rPr>
                <w:rFonts w:ascii="Times New Roman" w:hAnsi="Times New Roman" w:cs="Times New Roman"/>
                <w:color w:val="000000" w:themeColor="text1"/>
              </w:rPr>
              <w:t xml:space="preserve"> Radziuk en Świtoniak. 2022. Agronomy (MDPI), </w:t>
            </w:r>
            <w:r w:rsidRPr="007B0BF3">
              <w:fldChar w:fldCharType="begin"/>
            </w:r>
            <w:r w:rsidRPr="007B0BF3">
              <w:instrText>HYPERLINK "https://doi.org/10.3390/agronomy12112595"</w:instrText>
            </w:r>
            <w:r w:rsidRPr="007B0BF3">
              <w:fldChar w:fldCharType="separate"/>
            </w:r>
            <w:r w:rsidRPr="007B0BF3">
              <w:rPr>
                <w:rStyle w:val="Hyperlink"/>
                <w:rFonts w:ascii="Times New Roman" w:hAnsi="Times New Roman" w:cs="Times New Roman"/>
                <w:color w:val="000000" w:themeColor="text1"/>
                <w:u w:val="none"/>
              </w:rPr>
              <w:t>https://doi.org/10.3390/agronomy12112595</w:t>
            </w:r>
            <w:r w:rsidRPr="007B0BF3">
              <w:fldChar w:fldCharType="end"/>
            </w:r>
          </w:p>
          <w:p w14:paraId="69406C4B" w14:textId="77777777" w:rsidR="006E7F98" w:rsidRPr="007B0BF3" w:rsidRDefault="006E7F98" w:rsidP="002A67F8">
            <w:pPr>
              <w:jc w:val="both"/>
              <w:rPr>
                <w:rFonts w:ascii="Times New Roman" w:hAnsi="Times New Roman" w:cs="Times New Roman"/>
              </w:rPr>
            </w:pPr>
          </w:p>
        </w:tc>
        <w:tc>
          <w:tcPr>
            <w:tcW w:w="616" w:type="dxa"/>
          </w:tcPr>
          <w:p w14:paraId="678772B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13,6</w:t>
            </w:r>
          </w:p>
        </w:tc>
      </w:tr>
      <w:tr w:rsidR="006E7F98" w:rsidRPr="007B0BF3" w14:paraId="1D71C993" w14:textId="77777777" w:rsidTr="2C6C7817">
        <w:tc>
          <w:tcPr>
            <w:tcW w:w="2062" w:type="dxa"/>
          </w:tcPr>
          <w:p w14:paraId="3AE89502"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Bodemfuncties</w:t>
            </w:r>
          </w:p>
        </w:tc>
        <w:tc>
          <w:tcPr>
            <w:tcW w:w="1469" w:type="dxa"/>
          </w:tcPr>
          <w:p w14:paraId="07A9409A" w14:textId="77777777" w:rsidR="006E7F98" w:rsidRPr="007B0BF3" w:rsidRDefault="006E7F98" w:rsidP="00525540">
            <w:pPr>
              <w:jc w:val="both"/>
              <w:rPr>
                <w:rFonts w:ascii="Times New Roman" w:hAnsi="Times New Roman" w:cs="Times New Roman"/>
                <w:lang w:val="en-GB"/>
              </w:rPr>
            </w:pPr>
          </w:p>
        </w:tc>
        <w:tc>
          <w:tcPr>
            <w:tcW w:w="5615" w:type="dxa"/>
          </w:tcPr>
          <w:p w14:paraId="03200361"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lang w:val="nl"/>
              </w:rPr>
              <w:t>Ecosysteemfuncties houden direct en indirect verband met de bodem. Bodems hebben vele functies, en gezonde bodems geven ons schone lucht en schoon water, overvloedige gewassen en bossen, productieve begrazingsgebieden, diverse fauna en mooie landschappen. Bodem doet dit door vijf essentiële functies te vervullen:</w:t>
            </w:r>
          </w:p>
          <w:p w14:paraId="7E2E52E3" w14:textId="77777777" w:rsidR="006E7F98" w:rsidRPr="007B0BF3" w:rsidRDefault="006E7F98" w:rsidP="00525540">
            <w:pPr>
              <w:pStyle w:val="ListParagraph"/>
              <w:numPr>
                <w:ilvl w:val="0"/>
                <w:numId w:val="2"/>
              </w:numPr>
              <w:ind w:left="244" w:hanging="244"/>
              <w:jc w:val="both"/>
              <w:rPr>
                <w:rFonts w:ascii="Times New Roman" w:hAnsi="Times New Roman" w:cs="Times New Roman"/>
                <w:lang w:val="nl-NL"/>
              </w:rPr>
            </w:pPr>
            <w:r w:rsidRPr="007B0BF3">
              <w:rPr>
                <w:rFonts w:ascii="Times New Roman" w:hAnsi="Times New Roman" w:cs="Times New Roman"/>
                <w:lang w:val="nl"/>
              </w:rPr>
              <w:t>Voedingsstoffenkringloop – Bodem slaat voedingsstoffen en andere elementen op en modereert de afgifte ervan en recirculeert ze. Tijdens deze biogeochemische processen, analoog aan de waterkringloop, kunnen voedingsstoffen worden omgezet in voor planten beschikbare vormen, in de bodem worden gehouden of zelfs verloren gaan naar de lucht of het water.</w:t>
            </w:r>
          </w:p>
          <w:p w14:paraId="522EC694" w14:textId="77777777" w:rsidR="006E7F98" w:rsidRPr="007B0BF3" w:rsidRDefault="006E7F98" w:rsidP="00525540">
            <w:pPr>
              <w:pStyle w:val="ListParagraph"/>
              <w:numPr>
                <w:ilvl w:val="0"/>
                <w:numId w:val="2"/>
              </w:numPr>
              <w:ind w:left="244" w:hanging="244"/>
              <w:jc w:val="both"/>
              <w:rPr>
                <w:rFonts w:ascii="Times New Roman" w:hAnsi="Times New Roman" w:cs="Times New Roman"/>
                <w:lang w:val="nl-NL"/>
              </w:rPr>
            </w:pPr>
            <w:r w:rsidRPr="007B0BF3">
              <w:rPr>
                <w:rFonts w:ascii="Times New Roman" w:hAnsi="Times New Roman" w:cs="Times New Roman"/>
                <w:lang w:val="nl"/>
              </w:rPr>
              <w:t>Waterrelaties – Bodem kan de drainage, stroming en opslag reguleren van water en opgeloste stoffen, waaronder stikstof, fosfor, pesticiden en andere in het water opgeloste voedingsstoffen en verbindingen. Bij een juiste werking verdeelt de bodem het water voor aanvulling van het grondwater en voor gebruik door planten en bodemdieren.</w:t>
            </w:r>
          </w:p>
          <w:p w14:paraId="6784ECC3" w14:textId="77777777" w:rsidR="006E7F98" w:rsidRPr="007B0BF3" w:rsidRDefault="006E7F98" w:rsidP="00525540">
            <w:pPr>
              <w:pStyle w:val="ListParagraph"/>
              <w:numPr>
                <w:ilvl w:val="0"/>
                <w:numId w:val="2"/>
              </w:numPr>
              <w:ind w:left="244" w:hanging="244"/>
              <w:jc w:val="both"/>
              <w:rPr>
                <w:rFonts w:ascii="Times New Roman" w:hAnsi="Times New Roman" w:cs="Times New Roman"/>
                <w:lang w:val="nl-NL"/>
              </w:rPr>
            </w:pPr>
            <w:r w:rsidRPr="007B0BF3">
              <w:rPr>
                <w:rFonts w:ascii="Times New Roman" w:hAnsi="Times New Roman" w:cs="Times New Roman"/>
                <w:lang w:val="nl"/>
              </w:rPr>
              <w:t>Biodiversiteit en leefgebied – Bodem ondersteunt de groei van een verscheidenheid aan planten, dieren en bodemmicro-organismen, meestal door een divers fysisch, chemisch en biologisch leefgebied te bieden.</w:t>
            </w:r>
          </w:p>
          <w:p w14:paraId="717BDC3D" w14:textId="77777777" w:rsidR="006E7F98" w:rsidRPr="007B0BF3" w:rsidRDefault="006E7F98" w:rsidP="00525540">
            <w:pPr>
              <w:pStyle w:val="ListParagraph"/>
              <w:numPr>
                <w:ilvl w:val="0"/>
                <w:numId w:val="2"/>
              </w:numPr>
              <w:ind w:left="244" w:hanging="244"/>
              <w:jc w:val="both"/>
              <w:rPr>
                <w:rFonts w:ascii="Times New Roman" w:hAnsi="Times New Roman" w:cs="Times New Roman"/>
                <w:lang w:val="nl-NL"/>
              </w:rPr>
            </w:pPr>
            <w:r w:rsidRPr="007B0BF3">
              <w:rPr>
                <w:rFonts w:ascii="Times New Roman" w:hAnsi="Times New Roman" w:cs="Times New Roman"/>
                <w:lang w:val="nl"/>
              </w:rPr>
              <w:lastRenderedPageBreak/>
              <w:t>Filteren en bufferen – Bodem fungeert als een filter om de kwaliteit van water, lucht en andere hulpbronnen te beschermen. Giftige verbindingen of overtollige voedingsstoffen kunnen geneutraliseerd, omgezet of anderszins niet-beschikbaar worden gemaakt voor planten en dieren.</w:t>
            </w:r>
          </w:p>
          <w:p w14:paraId="37BD037A" w14:textId="77777777" w:rsidR="006E7F98" w:rsidRPr="007B0BF3" w:rsidRDefault="006E7F98" w:rsidP="00B22A51">
            <w:pPr>
              <w:pStyle w:val="ListParagraph"/>
              <w:numPr>
                <w:ilvl w:val="0"/>
                <w:numId w:val="2"/>
              </w:numPr>
              <w:ind w:left="282" w:hanging="282"/>
              <w:jc w:val="both"/>
              <w:rPr>
                <w:rFonts w:ascii="Times New Roman" w:hAnsi="Times New Roman" w:cs="Times New Roman"/>
                <w:lang w:val="nl-NL"/>
              </w:rPr>
            </w:pPr>
            <w:r w:rsidRPr="007B0BF3">
              <w:rPr>
                <w:rFonts w:ascii="Times New Roman" w:hAnsi="Times New Roman" w:cs="Times New Roman"/>
                <w:lang w:val="nl"/>
              </w:rPr>
              <w:t>Fysische stabiliteit en ondersteuning – Bodem heeft het vermogen om zijn poreuze structuur te behouden en de doorgang van lucht, gassen en water te reguleren, erosiekrachten te weerstaan, zware lasten te dragen en een medium voor plantenwortels te bieden.</w:t>
            </w:r>
          </w:p>
        </w:tc>
        <w:tc>
          <w:tcPr>
            <w:tcW w:w="616" w:type="dxa"/>
          </w:tcPr>
          <w:p w14:paraId="693B27C6"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7</w:t>
            </w:r>
          </w:p>
        </w:tc>
      </w:tr>
      <w:tr w:rsidR="006E7F98" w:rsidRPr="007B0BF3" w14:paraId="7DF22F46" w14:textId="77777777" w:rsidTr="2C6C7817">
        <w:tc>
          <w:tcPr>
            <w:tcW w:w="2062" w:type="dxa"/>
          </w:tcPr>
          <w:p w14:paraId="314EBC6F"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Bodemgeletterdheid</w:t>
            </w:r>
          </w:p>
        </w:tc>
        <w:tc>
          <w:tcPr>
            <w:tcW w:w="1469" w:type="dxa"/>
          </w:tcPr>
          <w:p w14:paraId="349FB25C" w14:textId="77777777" w:rsidR="006E7F98" w:rsidRPr="007B0BF3" w:rsidRDefault="006E7F98" w:rsidP="00A655ED">
            <w:pPr>
              <w:jc w:val="both"/>
              <w:rPr>
                <w:rFonts w:ascii="Times New Roman" w:hAnsi="Times New Roman" w:cs="Times New Roman"/>
                <w:lang w:val="en-GB"/>
              </w:rPr>
            </w:pPr>
          </w:p>
        </w:tc>
        <w:tc>
          <w:tcPr>
            <w:tcW w:w="5615" w:type="dxa"/>
          </w:tcPr>
          <w:p w14:paraId="6D8A4A90"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 xml:space="preserve">Bodemgeletterdheid is het begrip en de kennis van de rol van de bodem in ecosystemen, de landbouw en milieugezondheid. Dit omvat bewustzijn van de bodemsamenstelling, -functies en -beheerpraktijken die duurzaam landgebruik bevorderen. </w:t>
            </w:r>
          </w:p>
          <w:p w14:paraId="6D5B59AA"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De kernaspecten van bodemgeletterdheid zijn:</w:t>
            </w:r>
          </w:p>
          <w:p w14:paraId="648BC990"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Begrip van het belang van de bodemsamenstelling</w:t>
            </w:r>
            <w:r w:rsidRPr="007B0BF3">
              <w:rPr>
                <w:rFonts w:ascii="Times New Roman" w:hAnsi="Times New Roman" w:cs="Times New Roman"/>
                <w:lang w:val="nl"/>
              </w:rPr>
              <w:t>: Het kennen van de fysische en chemische eigenschappen van de bodem, waaronder de mineraalsamenstelling, het gehalte aan organische materie en vochttoestand.</w:t>
            </w:r>
          </w:p>
          <w:p w14:paraId="61C08E6C"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bCs/>
                <w:lang w:val="nl"/>
              </w:rPr>
              <w:t>Bodemfuncties</w:t>
            </w:r>
            <w:r w:rsidRPr="007B0BF3">
              <w:rPr>
                <w:rFonts w:ascii="Times New Roman" w:hAnsi="Times New Roman" w:cs="Times New Roman"/>
                <w:lang w:val="nl"/>
              </w:rPr>
              <w:t>: Bewustzijn van de diverse rollen die de bodem heeft, zoals het ondersteunen van plantengroei, reguleren van de waterkringloop, opslaan van koolstof en bieden van een leefgebied voor organismen.</w:t>
            </w:r>
          </w:p>
          <w:p w14:paraId="3324C1C4"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Bodembeheerpraktijken</w:t>
            </w:r>
            <w:r w:rsidRPr="007B0BF3">
              <w:rPr>
                <w:rFonts w:ascii="Times New Roman" w:hAnsi="Times New Roman" w:cs="Times New Roman"/>
                <w:lang w:val="nl"/>
              </w:rPr>
              <w:t>: Kennis van duurzame praktijken die de bodemgezondheid verbeteren, zoals gewasrotatie, gebruik van dekgewassen, minder bewerking en het gebruik van organische toevoegingen.</w:t>
            </w:r>
          </w:p>
          <w:p w14:paraId="242A51B3"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Impact op ecosystemen:</w:t>
            </w:r>
            <w:r w:rsidRPr="007B0BF3">
              <w:rPr>
                <w:rFonts w:ascii="Times New Roman" w:hAnsi="Times New Roman" w:cs="Times New Roman"/>
                <w:lang w:val="nl"/>
              </w:rPr>
              <w:t xml:space="preserve"> Erkennen welke impact de bodemgezondheid heeft op bredere milieukwesties zoals biodiversiteit, klimaatverandering en waterkwaliteit.</w:t>
            </w:r>
          </w:p>
          <w:p w14:paraId="068CFD2C"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Betrokkenheid van de gemeenschap</w:t>
            </w:r>
            <w:r w:rsidRPr="007B0BF3">
              <w:rPr>
                <w:rFonts w:ascii="Times New Roman" w:hAnsi="Times New Roman" w:cs="Times New Roman"/>
                <w:lang w:val="nl"/>
              </w:rPr>
              <w:t>: Lokale gemeenschappen aanmoedigen om zich bezig te houden met bodemkwesties via voorlichting en participatieve praktijken.</w:t>
            </w:r>
          </w:p>
          <w:p w14:paraId="69D93CDA"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Bodemgeletterdheid is cruciaal om duurzame landbouwpraktijken te cultiveren en goed milieubeheer te bevorderen. Hiermee worden individuen en gemeenschappen in staat gesteld geïnformeerde beslissingen te nemen over landgebruik en beschermingsactiviteiten.</w:t>
            </w:r>
          </w:p>
        </w:tc>
        <w:tc>
          <w:tcPr>
            <w:tcW w:w="616" w:type="dxa"/>
          </w:tcPr>
          <w:p w14:paraId="4E00560E"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23, Loess</w:t>
            </w:r>
          </w:p>
        </w:tc>
      </w:tr>
      <w:tr w:rsidR="006E7F98" w:rsidRPr="007B0BF3" w14:paraId="07CD8C7A" w14:textId="77777777" w:rsidTr="2C6C7817">
        <w:tc>
          <w:tcPr>
            <w:tcW w:w="2062" w:type="dxa"/>
          </w:tcPr>
          <w:p w14:paraId="4F0C889D"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Bodemgenese</w:t>
            </w:r>
          </w:p>
        </w:tc>
        <w:tc>
          <w:tcPr>
            <w:tcW w:w="1469" w:type="dxa"/>
          </w:tcPr>
          <w:p w14:paraId="2EE1D65D" w14:textId="77777777" w:rsidR="006E7F98" w:rsidRPr="007B0BF3" w:rsidRDefault="006E7F98" w:rsidP="00A655ED">
            <w:pPr>
              <w:jc w:val="both"/>
              <w:rPr>
                <w:rFonts w:ascii="Times New Roman" w:hAnsi="Times New Roman" w:cs="Times New Roman"/>
                <w:lang w:val="en-GB"/>
              </w:rPr>
            </w:pPr>
          </w:p>
        </w:tc>
        <w:tc>
          <w:tcPr>
            <w:tcW w:w="5615" w:type="dxa"/>
          </w:tcPr>
          <w:p w14:paraId="28E973C5"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Het proces van de transformatie van gesteentematerialen tot bodemprofielen. Bodems ontstaan onder de invloed van de voornaamste elementen van de natuurlijke omgeving, d.w.z. moedermateriaal, reliëf, klimaat, levende organismen en tijd (Dokuchaev, 1883) en onder de invloed van menselijke activiteit. Deze bodemvormende factoren werken samen en de morfologie en eigenschappen van individuele bodems hangen af van de lokale ordening van deze factoren.</w:t>
            </w:r>
          </w:p>
        </w:tc>
        <w:tc>
          <w:tcPr>
            <w:tcW w:w="616" w:type="dxa"/>
          </w:tcPr>
          <w:p w14:paraId="1F0B1912"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15</w:t>
            </w:r>
          </w:p>
        </w:tc>
      </w:tr>
      <w:tr w:rsidR="006E7F98" w:rsidRPr="007B0BF3" w14:paraId="5F4580B0" w14:textId="77777777" w:rsidTr="2C6C7817">
        <w:tc>
          <w:tcPr>
            <w:tcW w:w="2062" w:type="dxa"/>
          </w:tcPr>
          <w:p w14:paraId="7392DBFD" w14:textId="77777777" w:rsidR="006E7F98" w:rsidRPr="007B0BF3" w:rsidRDefault="006E7F98" w:rsidP="00A655ED">
            <w:pPr>
              <w:rPr>
                <w:rFonts w:ascii="Times New Roman" w:hAnsi="Times New Roman" w:cs="Times New Roman"/>
                <w:lang w:val="en-GB"/>
              </w:rPr>
            </w:pPr>
            <w:r w:rsidRPr="007B0BF3">
              <w:rPr>
                <w:rFonts w:ascii="Times New Roman" w:hAnsi="Times New Roman" w:cs="Times New Roman"/>
                <w:b/>
                <w:color w:val="3A7C22" w:themeColor="accent6" w:themeShade="BF"/>
                <w:lang w:val="nl"/>
              </w:rPr>
              <w:t>Bodemgezondheid</w:t>
            </w:r>
          </w:p>
        </w:tc>
        <w:tc>
          <w:tcPr>
            <w:tcW w:w="1469" w:type="dxa"/>
          </w:tcPr>
          <w:p w14:paraId="640E7789" w14:textId="77777777" w:rsidR="006E7F98" w:rsidRPr="007B0BF3" w:rsidRDefault="006E7F98" w:rsidP="00525540">
            <w:pPr>
              <w:jc w:val="both"/>
              <w:rPr>
                <w:rFonts w:ascii="Times New Roman" w:hAnsi="Times New Roman" w:cs="Times New Roman"/>
                <w:lang w:val="en-GB"/>
              </w:rPr>
            </w:pPr>
          </w:p>
        </w:tc>
        <w:tc>
          <w:tcPr>
            <w:tcW w:w="5615" w:type="dxa"/>
          </w:tcPr>
          <w:p w14:paraId="1A0CC213"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De bodem is de basis voor 95% van ons voedsel. Als bodems gezond zijn, leveren ze essentiële ecosysteemdiensten zoals schoon water en leefgebieden voor biodiversiteit. Ze zijn onze voornaamste koolstofreservoirs, die de voortgang van klimaatverandering helpen te vertragen en ons tegelijk weerbaarder maken tegen extreme klimaatverschijnselen. Bodems zijn een centraal onderdeel van de landschappen die we allemaal koesteren en zijn de basis van onze economie en </w:t>
            </w:r>
            <w:r w:rsidRPr="007B0BF3">
              <w:rPr>
                <w:rFonts w:ascii="Times New Roman" w:hAnsi="Times New Roman" w:cs="Times New Roman"/>
                <w:lang w:val="nl"/>
              </w:rPr>
              <w:lastRenderedPageBreak/>
              <w:t>welvaart. Gezonde bodem is een aanhoudende capaciteit van bodem om te functioneren als een onmisbaar levend systeem.</w:t>
            </w:r>
          </w:p>
        </w:tc>
        <w:tc>
          <w:tcPr>
            <w:tcW w:w="616" w:type="dxa"/>
          </w:tcPr>
          <w:p w14:paraId="767E1DAE"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1,46</w:t>
            </w:r>
          </w:p>
        </w:tc>
      </w:tr>
      <w:tr w:rsidR="006E7F98" w:rsidRPr="007B0BF3" w14:paraId="4C8E9EFE" w14:textId="77777777" w:rsidTr="2C6C7817">
        <w:tc>
          <w:tcPr>
            <w:tcW w:w="2062" w:type="dxa"/>
          </w:tcPr>
          <w:p w14:paraId="0866D01C"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Bodemhorizont</w:t>
            </w:r>
          </w:p>
        </w:tc>
        <w:tc>
          <w:tcPr>
            <w:tcW w:w="1469" w:type="dxa"/>
          </w:tcPr>
          <w:p w14:paraId="6B4A726C" w14:textId="77777777" w:rsidR="006E7F98" w:rsidRPr="007B0BF3" w:rsidRDefault="006E7F98" w:rsidP="00A655ED">
            <w:pPr>
              <w:jc w:val="both"/>
              <w:rPr>
                <w:rFonts w:ascii="Times New Roman" w:hAnsi="Times New Roman" w:cs="Times New Roman"/>
                <w:lang w:val="en-GB"/>
              </w:rPr>
            </w:pPr>
          </w:p>
        </w:tc>
        <w:tc>
          <w:tcPr>
            <w:tcW w:w="5615" w:type="dxa"/>
          </w:tcPr>
          <w:p w14:paraId="2214988A"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Een van de lagen die in het bodemprofiel ontstaan als gevolg van bodemvormende processen. Een horizont kan een duidelijk zichtbare laag zijn, maar vaker zijn grenzen tussen horizonten subtieler. In tuinbodems en op plekken waar veel bodembeweging is geweest, kunnen deze lagen verloren zijn of moeilijker te zien zijn.</w:t>
            </w:r>
          </w:p>
        </w:tc>
        <w:tc>
          <w:tcPr>
            <w:tcW w:w="616" w:type="dxa"/>
          </w:tcPr>
          <w:p w14:paraId="0B2CB0FD"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13</w:t>
            </w:r>
          </w:p>
        </w:tc>
      </w:tr>
      <w:tr w:rsidR="006E7F98" w:rsidRPr="007B0BF3" w14:paraId="4D1AAB36" w14:textId="77777777" w:rsidTr="2C6C7817">
        <w:tc>
          <w:tcPr>
            <w:tcW w:w="2062" w:type="dxa"/>
          </w:tcPr>
          <w:p w14:paraId="1676623F"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Bodemkoolstofbeheer</w:t>
            </w:r>
          </w:p>
        </w:tc>
        <w:tc>
          <w:tcPr>
            <w:tcW w:w="1469" w:type="dxa"/>
          </w:tcPr>
          <w:p w14:paraId="56A3DAE9" w14:textId="77777777" w:rsidR="006E7F98" w:rsidRPr="007B0BF3" w:rsidRDefault="006E7F98" w:rsidP="002A67F8">
            <w:pPr>
              <w:jc w:val="both"/>
              <w:rPr>
                <w:rFonts w:ascii="Times New Roman" w:hAnsi="Times New Roman" w:cs="Times New Roman"/>
                <w:lang w:val="en-GB"/>
              </w:rPr>
            </w:pPr>
          </w:p>
        </w:tc>
        <w:tc>
          <w:tcPr>
            <w:tcW w:w="5615" w:type="dxa"/>
          </w:tcPr>
          <w:p w14:paraId="6711F62F" w14:textId="77777777" w:rsidR="006E7F98" w:rsidRPr="007B0BF3" w:rsidRDefault="006E7F98" w:rsidP="006A5BAB">
            <w:pPr>
              <w:jc w:val="both"/>
              <w:rPr>
                <w:rFonts w:ascii="Times New Roman" w:hAnsi="Times New Roman" w:cs="Times New Roman"/>
                <w:lang w:val="nl-NL"/>
              </w:rPr>
            </w:pPr>
            <w:r w:rsidRPr="007B0BF3" w:rsidDel="006A5BAB">
              <w:rPr>
                <w:rFonts w:ascii="Times New Roman" w:hAnsi="Times New Roman" w:cs="Times New Roman"/>
                <w:lang w:val="nl"/>
              </w:rPr>
              <w:t xml:space="preserve"> De praktijken en strategieën gericht op het behouden of vergroten van de hoeveelheid koolstof die in bodems is opgeslagen, hoofdzakelijk in de vorm van organische materie. Dit proces is kritiek voor het verbeteren van de bodemgezondheid, het verhogen van de landbouwproductiviteit en het beperken van de klimaatverandering door koolstofdioxide (CO₂) uit de atmosfeer af te scheiden. Bodemkoolstofbeheer verbetert de bodemvruchtbaarheid, waterretentie en biodiversiteit, en draagt bij aan beperking van de klimaatverandering door CO₂ af te vangen en op te slaan. Het speelt een onmisbare rol in de duurzame landbouw en de veerkracht van ecosystemen.</w:t>
            </w:r>
          </w:p>
          <w:p w14:paraId="371E453D" w14:textId="77777777" w:rsidR="006E7F98" w:rsidRPr="007B0BF3" w:rsidRDefault="006E7F98" w:rsidP="006A5BAB">
            <w:pPr>
              <w:jc w:val="both"/>
              <w:rPr>
                <w:rFonts w:ascii="Times New Roman" w:hAnsi="Times New Roman" w:cs="Times New Roman"/>
                <w:lang w:val="nl-NL"/>
              </w:rPr>
            </w:pPr>
            <w:r w:rsidRPr="007B0BF3">
              <w:rPr>
                <w:rFonts w:ascii="Times New Roman" w:hAnsi="Times New Roman" w:cs="Times New Roman"/>
                <w:lang w:val="nl"/>
              </w:rPr>
              <w:t>Centrale praktijken in bodemkoolstofbeheer zijn conserverende bodembewerking, gewasrotatie en -diversificatie, gebruik van dekgewassen, boslandbouw en herstel van aangetaste bodems.</w:t>
            </w:r>
          </w:p>
        </w:tc>
        <w:tc>
          <w:tcPr>
            <w:tcW w:w="616" w:type="dxa"/>
          </w:tcPr>
          <w:p w14:paraId="1F52F8A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2, 40</w:t>
            </w:r>
          </w:p>
        </w:tc>
      </w:tr>
      <w:tr w:rsidR="006E7F98" w:rsidRPr="007B0BF3" w14:paraId="3BF7D138" w14:textId="77777777" w:rsidTr="2C6C7817">
        <w:tc>
          <w:tcPr>
            <w:tcW w:w="2062" w:type="dxa"/>
          </w:tcPr>
          <w:p w14:paraId="13271076"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Bodemkoolstofvastlegging</w:t>
            </w:r>
          </w:p>
        </w:tc>
        <w:tc>
          <w:tcPr>
            <w:tcW w:w="1469" w:type="dxa"/>
          </w:tcPr>
          <w:p w14:paraId="5CAF2A2D" w14:textId="77777777" w:rsidR="006E7F98" w:rsidRPr="007B0BF3" w:rsidRDefault="006E7F98" w:rsidP="00525540">
            <w:pPr>
              <w:jc w:val="both"/>
              <w:rPr>
                <w:rFonts w:ascii="Times New Roman" w:hAnsi="Times New Roman" w:cs="Times New Roman"/>
                <w:lang w:val="en-GB"/>
              </w:rPr>
            </w:pPr>
          </w:p>
        </w:tc>
        <w:tc>
          <w:tcPr>
            <w:tcW w:w="5615" w:type="dxa"/>
          </w:tcPr>
          <w:p w14:paraId="46F1D9B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capaciteit van een bodem om koolstof in een niet-labiele vorm op te slaan om de CO</w:t>
            </w:r>
            <w:r w:rsidRPr="007B0BF3">
              <w:rPr>
                <w:rFonts w:ascii="Times New Roman" w:hAnsi="Times New Roman" w:cs="Times New Roman"/>
                <w:vertAlign w:val="subscript"/>
                <w:lang w:val="nl"/>
              </w:rPr>
              <w:t>2</w:t>
            </w:r>
            <w:r w:rsidRPr="007B0BF3">
              <w:rPr>
                <w:rFonts w:ascii="Times New Roman" w:hAnsi="Times New Roman" w:cs="Times New Roman"/>
                <w:lang w:val="nl"/>
              </w:rPr>
              <w:t>-concentratie in de atmosfeer te verlagen.</w:t>
            </w:r>
          </w:p>
        </w:tc>
        <w:tc>
          <w:tcPr>
            <w:tcW w:w="616" w:type="dxa"/>
          </w:tcPr>
          <w:p w14:paraId="473AF5E3"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53BDD5E1" w14:textId="77777777" w:rsidTr="2C6C7817">
        <w:tc>
          <w:tcPr>
            <w:tcW w:w="2062" w:type="dxa"/>
          </w:tcPr>
          <w:p w14:paraId="2D221D53"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Bodemonafhankelijke landbouw</w:t>
            </w:r>
          </w:p>
        </w:tc>
        <w:tc>
          <w:tcPr>
            <w:tcW w:w="1469" w:type="dxa"/>
          </w:tcPr>
          <w:p w14:paraId="10CBB3AD" w14:textId="77777777" w:rsidR="006E7F98" w:rsidRPr="007B0BF3" w:rsidRDefault="006E7F98" w:rsidP="00A655ED">
            <w:pPr>
              <w:jc w:val="both"/>
              <w:rPr>
                <w:rFonts w:ascii="Times New Roman" w:hAnsi="Times New Roman" w:cs="Times New Roman"/>
                <w:lang w:val="en-GB"/>
              </w:rPr>
            </w:pPr>
          </w:p>
        </w:tc>
        <w:tc>
          <w:tcPr>
            <w:tcW w:w="5615" w:type="dxa"/>
          </w:tcPr>
          <w:p w14:paraId="71B8A200"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Een landbouwmethode die niet afhankelijk is van traditionele teelt op basis van bodem. Bij deze benadering wordt gebruikgemaakt van alternatieve groeimedia, zoals hydroponische, aeroponische of aquaponische systemen, om gewassen te produceren. Bodemonafhankelijke landbouw is bedoeld om het gebruik van hulpbronnen te optimaliseren, de aantasting van land te minimaliseren en de voedselproductie te verhogen in stedelijke of droge omgevingen waar de bodemkwaliteit mogelijk slecht of niet beschikbaar is. Deze methode benadrukt vaak duurzaamheid, efficiëntie en het vermogen om milieufactoren te regelen voor een verbeterde oogst.</w:t>
            </w:r>
          </w:p>
        </w:tc>
        <w:tc>
          <w:tcPr>
            <w:tcW w:w="616" w:type="dxa"/>
          </w:tcPr>
          <w:p w14:paraId="532BD601"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33</w:t>
            </w:r>
          </w:p>
        </w:tc>
      </w:tr>
      <w:tr w:rsidR="006E7F98" w:rsidRPr="007B0BF3" w14:paraId="1545D1A9" w14:textId="77777777" w:rsidTr="2C6C7817">
        <w:tc>
          <w:tcPr>
            <w:tcW w:w="2062" w:type="dxa"/>
          </w:tcPr>
          <w:p w14:paraId="34C2F9B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Bodemtoestand</w:t>
            </w:r>
          </w:p>
        </w:tc>
        <w:tc>
          <w:tcPr>
            <w:tcW w:w="1469" w:type="dxa"/>
          </w:tcPr>
          <w:p w14:paraId="36F1FD27" w14:textId="77777777" w:rsidR="006E7F98" w:rsidRPr="007B0BF3" w:rsidRDefault="006E7F98" w:rsidP="00525540">
            <w:pPr>
              <w:jc w:val="both"/>
              <w:rPr>
                <w:rFonts w:ascii="Times New Roman" w:hAnsi="Times New Roman" w:cs="Times New Roman"/>
                <w:lang w:val="en-GB"/>
              </w:rPr>
            </w:pPr>
          </w:p>
        </w:tc>
        <w:tc>
          <w:tcPr>
            <w:tcW w:w="5615" w:type="dxa"/>
          </w:tcPr>
          <w:p w14:paraId="7C8992B0"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Bodemtoestand verwijst naar de staat van de bodem, waaronder de fysische, chemische en biologische kenmerken ervan en de processen en interacties die deze verbinden en die bepalend zijn voor de capaciteit van de bodem om ecosysteemdiensten te ondersteunen.</w:t>
            </w:r>
          </w:p>
        </w:tc>
        <w:tc>
          <w:tcPr>
            <w:tcW w:w="616" w:type="dxa"/>
          </w:tcPr>
          <w:p w14:paraId="44CD5BC1"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w:t>
            </w:r>
          </w:p>
        </w:tc>
      </w:tr>
      <w:tr w:rsidR="006E7F98" w:rsidRPr="007B0BF3" w14:paraId="17A9CB04" w14:textId="77777777" w:rsidTr="2C6C7817">
        <w:tc>
          <w:tcPr>
            <w:tcW w:w="2062" w:type="dxa"/>
          </w:tcPr>
          <w:p w14:paraId="3288EC01"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Bodemtype</w:t>
            </w:r>
          </w:p>
        </w:tc>
        <w:tc>
          <w:tcPr>
            <w:tcW w:w="1469" w:type="dxa"/>
          </w:tcPr>
          <w:p w14:paraId="49D2B143" w14:textId="77777777" w:rsidR="006E7F98" w:rsidRPr="007B0BF3" w:rsidRDefault="006E7F98" w:rsidP="00A655ED">
            <w:pPr>
              <w:jc w:val="both"/>
              <w:rPr>
                <w:rFonts w:ascii="Times New Roman" w:hAnsi="Times New Roman" w:cs="Times New Roman"/>
                <w:lang w:val="en-GB"/>
              </w:rPr>
            </w:pPr>
          </w:p>
        </w:tc>
        <w:tc>
          <w:tcPr>
            <w:tcW w:w="5615" w:type="dxa"/>
          </w:tcPr>
          <w:p w14:paraId="32E73B72"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Bodemtype is een conceptuele en sterk gegeneraliseerde eenheid die in de bodemwetenschap in veel bodemindelingssystemen wordt gebruikt. Bodemtype wordt voornamelijk gedefinieerd op basis van kenmerken die voortkomen uit bodemvormende processen (pedogenese). Bodems met een bepaalde volgorde van genetische horizonten en bepaalde eigenschappen vormen een specifiek bodemtype.</w:t>
            </w:r>
          </w:p>
        </w:tc>
        <w:tc>
          <w:tcPr>
            <w:tcW w:w="616" w:type="dxa"/>
          </w:tcPr>
          <w:p w14:paraId="6BE051AA"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16</w:t>
            </w:r>
          </w:p>
        </w:tc>
      </w:tr>
      <w:tr w:rsidR="006E7F98" w:rsidRPr="007B0BF3" w14:paraId="0CB9A163" w14:textId="77777777" w:rsidTr="2C6C7817">
        <w:tc>
          <w:tcPr>
            <w:tcW w:w="2062" w:type="dxa"/>
          </w:tcPr>
          <w:p w14:paraId="67DE0D6D"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Bodemverdichting</w:t>
            </w:r>
          </w:p>
        </w:tc>
        <w:tc>
          <w:tcPr>
            <w:tcW w:w="1469" w:type="dxa"/>
          </w:tcPr>
          <w:p w14:paraId="4CB5F88C" w14:textId="77777777" w:rsidR="006E7F98" w:rsidRPr="007B0BF3" w:rsidRDefault="006E7F98" w:rsidP="00525540">
            <w:pPr>
              <w:jc w:val="both"/>
              <w:rPr>
                <w:rFonts w:ascii="Times New Roman" w:hAnsi="Times New Roman" w:cs="Times New Roman"/>
                <w:lang w:val="en-GB"/>
              </w:rPr>
            </w:pPr>
          </w:p>
        </w:tc>
        <w:tc>
          <w:tcPr>
            <w:tcW w:w="5615" w:type="dxa"/>
          </w:tcPr>
          <w:p w14:paraId="7C0CE68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Het zodanig veranderen van de aard van de bodem dat het volume van poriën tussen bodemdeeltjes of -aggregaten afneemt. Dit uit zich als een toename in de dichtheid en een ernstig verdichte bodem kan aanzienlijk minder doorlaatbaar </w:t>
            </w:r>
            <w:r w:rsidRPr="007B0BF3">
              <w:rPr>
                <w:rFonts w:ascii="Times New Roman" w:hAnsi="Times New Roman" w:cs="Times New Roman"/>
                <w:lang w:val="nl"/>
              </w:rPr>
              <w:lastRenderedPageBreak/>
              <w:t>en minder belucht worden. Van mensen afhankelijke verdichting wordt veroorzaakt door vertrapping (herhaaldelijke inwerking van dierenhoeven) of door bewegingen van zware machines. Andere typische voorbeelden zijn ‘ploegzolen’ (verdichte lagen net onder de geploegde bodem) die bij bewerking kunnen ontstaan en die een negatieve invloed hebben op de wortelontwikkeling en drainage.</w:t>
            </w:r>
          </w:p>
        </w:tc>
        <w:tc>
          <w:tcPr>
            <w:tcW w:w="616" w:type="dxa"/>
          </w:tcPr>
          <w:p w14:paraId="15F5AB4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4</w:t>
            </w:r>
          </w:p>
        </w:tc>
      </w:tr>
      <w:tr w:rsidR="006E7F98" w:rsidRPr="007B0BF3" w14:paraId="7D857164" w14:textId="77777777" w:rsidTr="2C6C7817">
        <w:tc>
          <w:tcPr>
            <w:tcW w:w="2062" w:type="dxa"/>
          </w:tcPr>
          <w:p w14:paraId="48710278"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Bodemverontreiniging</w:t>
            </w:r>
          </w:p>
        </w:tc>
        <w:tc>
          <w:tcPr>
            <w:tcW w:w="1469" w:type="dxa"/>
          </w:tcPr>
          <w:p w14:paraId="32789594" w14:textId="77777777" w:rsidR="006E7F98" w:rsidRPr="007B0BF3" w:rsidRDefault="006E7F98" w:rsidP="00525540">
            <w:pPr>
              <w:jc w:val="both"/>
              <w:rPr>
                <w:rFonts w:ascii="Times New Roman" w:hAnsi="Times New Roman" w:cs="Times New Roman"/>
                <w:lang w:val="en-GB"/>
              </w:rPr>
            </w:pPr>
          </w:p>
        </w:tc>
        <w:tc>
          <w:tcPr>
            <w:tcW w:w="5615" w:type="dxa"/>
          </w:tcPr>
          <w:p w14:paraId="570F1C64"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aanwezigheid van een chemische stof in de bodem in een concentratie die schadelijk kan zijn voor de menselijk gezondheid of het milieu. Verontreiniging kan een direct giftig effect hebben op de planten, dieren of mensen die in, op of van die bodem leven, of een indirect giftig effect als gevolg van accumulatie in de hele voedselketen.</w:t>
            </w:r>
          </w:p>
        </w:tc>
        <w:tc>
          <w:tcPr>
            <w:tcW w:w="616" w:type="dxa"/>
          </w:tcPr>
          <w:p w14:paraId="79C1090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2, 4</w:t>
            </w:r>
          </w:p>
        </w:tc>
      </w:tr>
      <w:tr w:rsidR="006E7F98" w:rsidRPr="007B0BF3" w14:paraId="11CEFB57" w14:textId="77777777" w:rsidTr="2C6C7817">
        <w:tc>
          <w:tcPr>
            <w:tcW w:w="2062" w:type="dxa"/>
          </w:tcPr>
          <w:p w14:paraId="035C0DBB"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Bodemverrijkende planten</w:t>
            </w:r>
          </w:p>
        </w:tc>
        <w:tc>
          <w:tcPr>
            <w:tcW w:w="1469" w:type="dxa"/>
          </w:tcPr>
          <w:p w14:paraId="7D8770E8" w14:textId="77777777" w:rsidR="006E7F98" w:rsidRPr="007B0BF3" w:rsidRDefault="006E7F98" w:rsidP="00A655ED">
            <w:pPr>
              <w:jc w:val="both"/>
              <w:rPr>
                <w:rFonts w:ascii="Times New Roman" w:hAnsi="Times New Roman" w:cs="Times New Roman"/>
                <w:lang w:val="en-GB"/>
              </w:rPr>
            </w:pPr>
          </w:p>
        </w:tc>
        <w:tc>
          <w:tcPr>
            <w:tcW w:w="5615" w:type="dxa"/>
          </w:tcPr>
          <w:p w14:paraId="50037A67"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Planten die de bodemvruchtbaarheid en -gezondheid verbeteren via diverse mechanismen, zoals stikstoffixatie of toevoeging van organische materie. Een voorbeeld is peulvruchten, die bekendstaan om hun vermogen om de kwaliteit van de bodem te verbeteren door stikstof te fixeren. Dit proces verhoogt de bodemvruchtbaarheid aanzienlijk en bevordert de groei van daaropvolgende gewassen. Vandaar dat peulvruchten essentieel zijn in duurzame landbouwsystemen. Daarnaast spelen ook rogge, haver, boekweit en sorghum-soedangras de rol van bodemverrijkende planten.</w:t>
            </w:r>
          </w:p>
        </w:tc>
        <w:tc>
          <w:tcPr>
            <w:tcW w:w="616" w:type="dxa"/>
          </w:tcPr>
          <w:p w14:paraId="307BA0A7"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17, 18</w:t>
            </w:r>
          </w:p>
        </w:tc>
      </w:tr>
      <w:tr w:rsidR="006E7F98" w:rsidRPr="007B0BF3" w14:paraId="352ADCD0" w14:textId="77777777" w:rsidTr="2C6C7817">
        <w:tc>
          <w:tcPr>
            <w:tcW w:w="2062" w:type="dxa"/>
          </w:tcPr>
          <w:p w14:paraId="4C8CF5D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Bodemvruchtbaarheid</w:t>
            </w:r>
          </w:p>
        </w:tc>
        <w:tc>
          <w:tcPr>
            <w:tcW w:w="1469" w:type="dxa"/>
          </w:tcPr>
          <w:p w14:paraId="56BF627D" w14:textId="77777777" w:rsidR="006E7F98" w:rsidRPr="007B0BF3" w:rsidRDefault="006E7F98" w:rsidP="00525540">
            <w:pPr>
              <w:jc w:val="both"/>
              <w:rPr>
                <w:rFonts w:ascii="Times New Roman" w:hAnsi="Times New Roman" w:cs="Times New Roman"/>
                <w:lang w:val="en-GB"/>
              </w:rPr>
            </w:pPr>
          </w:p>
        </w:tc>
        <w:tc>
          <w:tcPr>
            <w:tcW w:w="5615" w:type="dxa"/>
          </w:tcPr>
          <w:p w14:paraId="07323027"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vermogen van de bodem om essentiële voedingsstoffen en bodemwater in voldoende hoeveelheden en verhoudingen te leveren voor groei en voortplanting van planten. Gekenmerkt door gunstige chemische, fysische en biologische eigenschappen als een leefgebied voor plantengroei.</w:t>
            </w:r>
          </w:p>
        </w:tc>
        <w:tc>
          <w:tcPr>
            <w:tcW w:w="616" w:type="dxa"/>
          </w:tcPr>
          <w:p w14:paraId="2B6DFA5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2, 4</w:t>
            </w:r>
          </w:p>
        </w:tc>
      </w:tr>
      <w:tr w:rsidR="006E7F98" w:rsidRPr="007B0BF3" w14:paraId="525EE8BB" w14:textId="77777777" w:rsidTr="2C6C7817">
        <w:tc>
          <w:tcPr>
            <w:tcW w:w="2062" w:type="dxa"/>
          </w:tcPr>
          <w:p w14:paraId="4865EA48"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Boslandbouw</w:t>
            </w:r>
          </w:p>
        </w:tc>
        <w:tc>
          <w:tcPr>
            <w:tcW w:w="1469" w:type="dxa"/>
          </w:tcPr>
          <w:p w14:paraId="08D9BA61" w14:textId="77777777" w:rsidR="006E7F98" w:rsidRPr="007B0BF3" w:rsidRDefault="006E7F98" w:rsidP="002A67F8">
            <w:pPr>
              <w:jc w:val="both"/>
              <w:rPr>
                <w:rFonts w:ascii="Times New Roman" w:hAnsi="Times New Roman" w:cs="Times New Roman"/>
                <w:lang w:val="en-GB"/>
              </w:rPr>
            </w:pPr>
          </w:p>
        </w:tc>
        <w:tc>
          <w:tcPr>
            <w:tcW w:w="5615" w:type="dxa"/>
          </w:tcPr>
          <w:p w14:paraId="23CFD622"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Een type landgebruik dat productie op hetzelfde perceel combineert, van jaarlijkse landbouwactiviteiten (zoals gewassen en weiland) tot uitgestelde productie op lange termijn door bomen (bijvoorbeeld timmerhout en diensten). Dit wordt bereikt door bomen op landbouwgrond te planten of gewassen te telen op bebost land (bijvoorbeeld na uitdunning). De combinatie van tussenteelt met bosbouwbomen wordt agri-sylvicultuur genoemd en de combinatie van bebossing met weilanden onder het bomendek wordt sylvopastoralisme genoemd.</w:t>
            </w:r>
          </w:p>
        </w:tc>
        <w:tc>
          <w:tcPr>
            <w:tcW w:w="616" w:type="dxa"/>
          </w:tcPr>
          <w:p w14:paraId="7756A75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1C567ACF" w14:textId="77777777" w:rsidTr="2C6C7817">
        <w:tc>
          <w:tcPr>
            <w:tcW w:w="2062" w:type="dxa"/>
          </w:tcPr>
          <w:p w14:paraId="1E134140"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Bouwland</w:t>
            </w:r>
          </w:p>
        </w:tc>
        <w:tc>
          <w:tcPr>
            <w:tcW w:w="1469" w:type="dxa"/>
          </w:tcPr>
          <w:p w14:paraId="63BAFCA1" w14:textId="77777777" w:rsidR="006E7F98" w:rsidRPr="007B0BF3" w:rsidRDefault="006E7F98" w:rsidP="002A67F8">
            <w:pPr>
              <w:jc w:val="both"/>
              <w:rPr>
                <w:rFonts w:ascii="Times New Roman" w:hAnsi="Times New Roman" w:cs="Times New Roman"/>
                <w:lang w:val="en-GB"/>
              </w:rPr>
            </w:pPr>
          </w:p>
        </w:tc>
        <w:tc>
          <w:tcPr>
            <w:tcW w:w="5615" w:type="dxa"/>
          </w:tcPr>
          <w:p w14:paraId="177A982A"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Dit is land dat regelmatig wordt bewerkt (geploegd of bebouwd), over het algemeen in een systeem van gewasrotatie. Het totale oppervlak onder gewassen, graslanden en weilanden, en beschikbaar voor gewasteelt maar momenteel bebladerd als braakland.</w:t>
            </w:r>
          </w:p>
        </w:tc>
        <w:tc>
          <w:tcPr>
            <w:tcW w:w="616" w:type="dxa"/>
          </w:tcPr>
          <w:p w14:paraId="552C3768"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7D03E1FE" w14:textId="77777777" w:rsidTr="2C6C7817">
        <w:tc>
          <w:tcPr>
            <w:tcW w:w="2062" w:type="dxa"/>
          </w:tcPr>
          <w:p w14:paraId="3CB20B80"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Braakland</w:t>
            </w:r>
          </w:p>
        </w:tc>
        <w:tc>
          <w:tcPr>
            <w:tcW w:w="1469" w:type="dxa"/>
          </w:tcPr>
          <w:p w14:paraId="156FFF1A" w14:textId="77777777" w:rsidR="006E7F98" w:rsidRPr="007B0BF3" w:rsidRDefault="006E7F98" w:rsidP="002A67F8">
            <w:pPr>
              <w:jc w:val="both"/>
              <w:rPr>
                <w:rFonts w:ascii="Times New Roman" w:hAnsi="Times New Roman" w:cs="Times New Roman"/>
                <w:lang w:val="en-GB"/>
              </w:rPr>
            </w:pPr>
          </w:p>
        </w:tc>
        <w:tc>
          <w:tcPr>
            <w:tcW w:w="5615" w:type="dxa"/>
          </w:tcPr>
          <w:p w14:paraId="049A3482"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Gewasland dat ongebruikt blijft om de productiviteit te herstellen door aanvulling van vocht of organische materie. Zomerbraak is gebruikelijk in gebieden met beperkte neerslag waarin granen worden geteeld. De bodem wordt gedurende ten minste één groeiseizoen bewerkt voor onkruidbestrijding en ontleding van plantenresten.</w:t>
            </w:r>
          </w:p>
        </w:tc>
        <w:tc>
          <w:tcPr>
            <w:tcW w:w="616" w:type="dxa"/>
          </w:tcPr>
          <w:p w14:paraId="2ADD0B36"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11515C95" w14:textId="77777777" w:rsidTr="2C6C7817">
        <w:tc>
          <w:tcPr>
            <w:tcW w:w="2062" w:type="dxa"/>
          </w:tcPr>
          <w:p w14:paraId="1901C323"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Compost</w:t>
            </w:r>
          </w:p>
        </w:tc>
        <w:tc>
          <w:tcPr>
            <w:tcW w:w="1469" w:type="dxa"/>
          </w:tcPr>
          <w:p w14:paraId="73A7E4E9" w14:textId="77777777" w:rsidR="006E7F98" w:rsidRPr="007B0BF3" w:rsidRDefault="006E7F98" w:rsidP="002A67F8">
            <w:pPr>
              <w:jc w:val="both"/>
              <w:rPr>
                <w:rFonts w:ascii="Times New Roman" w:hAnsi="Times New Roman" w:cs="Times New Roman"/>
                <w:lang w:val="en-GB"/>
              </w:rPr>
            </w:pPr>
          </w:p>
        </w:tc>
        <w:tc>
          <w:tcPr>
            <w:tcW w:w="5615" w:type="dxa"/>
          </w:tcPr>
          <w:p w14:paraId="0B05BEA0"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materiaal dat wordt gebruikt om organische materie of plantenvoedingsstoffen aan een bodem toe te voegen en dat voortkomt uit compostering.</w:t>
            </w:r>
          </w:p>
        </w:tc>
        <w:tc>
          <w:tcPr>
            <w:tcW w:w="616" w:type="dxa"/>
          </w:tcPr>
          <w:p w14:paraId="766EBCE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12B4C19E" w14:textId="77777777" w:rsidTr="2C6C7817">
        <w:tc>
          <w:tcPr>
            <w:tcW w:w="2062" w:type="dxa"/>
          </w:tcPr>
          <w:p w14:paraId="79598D60"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lastRenderedPageBreak/>
              <w:t>Compostering</w:t>
            </w:r>
          </w:p>
        </w:tc>
        <w:tc>
          <w:tcPr>
            <w:tcW w:w="1469" w:type="dxa"/>
          </w:tcPr>
          <w:p w14:paraId="7B91A67D" w14:textId="77777777" w:rsidR="006E7F98" w:rsidRPr="007B0BF3" w:rsidRDefault="006E7F98" w:rsidP="002A67F8">
            <w:pPr>
              <w:jc w:val="both"/>
              <w:rPr>
                <w:rFonts w:ascii="Times New Roman" w:hAnsi="Times New Roman" w:cs="Times New Roman"/>
                <w:lang w:val="en-GB"/>
              </w:rPr>
            </w:pPr>
          </w:p>
        </w:tc>
        <w:tc>
          <w:tcPr>
            <w:tcW w:w="5615" w:type="dxa"/>
          </w:tcPr>
          <w:p w14:paraId="1DAD0B1D"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De aerobe microbiële ontleding van organische materialen, zoals landbouwafval, gft-afval en maaiafval. Dit proces wordt doorgaans bewerkstelligd door het regelmatig keren en beluchten van organische biomassa die in hopen wordt opgeslagen met een geometrie die doeltreffende beluchting bevordert. Tijdens deze omzetting ondergaan de gemakkelijkst afbreekbare organische fracties oxidatie tot stabiele organische materie, die in de landbouw gebruikt kan worden als meststof en als een biologische bestrijdingsmethode. Afhankelijk van de grondstof die voor compostering wordt gebruikt, kunnen er risico's zijn, bijvoorbeeld verontreiniging met microplastics in het geval van grondstof afkomstig van huishoudens, waardoor er voorzichtigheid nodig is bij toepassingen in de landbouw. Tegelijkertijd kan het product minder volumineus worden door het verlies van water en ook beter hanteerbaar als gevolg van homogenisatie.</w:t>
            </w:r>
          </w:p>
          <w:p w14:paraId="12901B33"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Naast deze voordelen helpt compostering ook de aanvankelijke fytotoxiciteit van de gebruikte organische materialen te verlagen, worden de materialen gedesinfecteerd en wordt de kiemkracht van eventuele onkruidzaden verlaagd.</w:t>
            </w:r>
          </w:p>
        </w:tc>
        <w:tc>
          <w:tcPr>
            <w:tcW w:w="616" w:type="dxa"/>
          </w:tcPr>
          <w:p w14:paraId="3D7027D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1, 3</w:t>
            </w:r>
          </w:p>
        </w:tc>
      </w:tr>
      <w:tr w:rsidR="006E7F98" w:rsidRPr="007B0BF3" w14:paraId="24E6A8C9" w14:textId="77777777" w:rsidTr="2C6C7817">
        <w:tc>
          <w:tcPr>
            <w:tcW w:w="2062" w:type="dxa"/>
          </w:tcPr>
          <w:p w14:paraId="3B747675"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Conserveringslandbouw</w:t>
            </w:r>
          </w:p>
        </w:tc>
        <w:tc>
          <w:tcPr>
            <w:tcW w:w="1469" w:type="dxa"/>
          </w:tcPr>
          <w:p w14:paraId="7DF138D9" w14:textId="77777777" w:rsidR="006E7F98" w:rsidRPr="007B0BF3" w:rsidRDefault="006E7F98" w:rsidP="002A67F8">
            <w:pPr>
              <w:jc w:val="both"/>
              <w:rPr>
                <w:rFonts w:ascii="Times New Roman" w:hAnsi="Times New Roman" w:cs="Times New Roman"/>
                <w:lang w:val="en-GB"/>
              </w:rPr>
            </w:pPr>
          </w:p>
        </w:tc>
        <w:tc>
          <w:tcPr>
            <w:tcW w:w="5615" w:type="dxa"/>
          </w:tcPr>
          <w:p w14:paraId="2A1ECE93"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Een landbouwmethode met minimale bodemverstoring (geen bewerking, minimale bewerking, verminderde bewerking, strokenbewerking, directzaai), gewasrotatie en permanente bodembedekking (</w:t>
            </w:r>
            <w:r w:rsidRPr="007B0BF3">
              <w:fldChar w:fldCharType="begin"/>
            </w:r>
            <w:r w:rsidRPr="007B0BF3">
              <w:rPr>
                <w:lang w:val="nl-NL"/>
              </w:rPr>
              <w:instrText>HYPERLINK "http://www.fao.org/ag/ca/"</w:instrText>
            </w:r>
            <w:r w:rsidRPr="007B0BF3">
              <w:fldChar w:fldCharType="separate"/>
            </w:r>
            <w:r w:rsidRPr="007B0BF3">
              <w:rPr>
                <w:rStyle w:val="Hyperlink"/>
                <w:rFonts w:ascii="Times New Roman" w:hAnsi="Times New Roman" w:cs="Times New Roman"/>
                <w:lang w:val="nl"/>
              </w:rPr>
              <w:t>http://www.fao.org/ag/ca/</w:t>
            </w:r>
            <w:r w:rsidRPr="007B0BF3">
              <w:fldChar w:fldCharType="end"/>
            </w:r>
            <w:r w:rsidRPr="007B0BF3">
              <w:rPr>
                <w:rFonts w:ascii="Times New Roman" w:hAnsi="Times New Roman" w:cs="Times New Roman"/>
                <w:lang w:val="nl"/>
              </w:rPr>
              <w:t>).</w:t>
            </w:r>
          </w:p>
        </w:tc>
        <w:tc>
          <w:tcPr>
            <w:tcW w:w="616" w:type="dxa"/>
          </w:tcPr>
          <w:p w14:paraId="7AE7AD0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36CAC6E7" w14:textId="77777777" w:rsidTr="2C6C7817">
        <w:tc>
          <w:tcPr>
            <w:tcW w:w="2062" w:type="dxa"/>
          </w:tcPr>
          <w:p w14:paraId="3FE5F193"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Conventionele landbouw</w:t>
            </w:r>
          </w:p>
        </w:tc>
        <w:tc>
          <w:tcPr>
            <w:tcW w:w="1469" w:type="dxa"/>
          </w:tcPr>
          <w:p w14:paraId="737163F9" w14:textId="77777777" w:rsidR="006E7F98" w:rsidRPr="007B0BF3" w:rsidRDefault="006E7F98" w:rsidP="002A67F8">
            <w:pPr>
              <w:jc w:val="both"/>
              <w:rPr>
                <w:rFonts w:ascii="Times New Roman" w:hAnsi="Times New Roman" w:cs="Times New Roman"/>
                <w:lang w:val="en-GB"/>
              </w:rPr>
            </w:pPr>
          </w:p>
        </w:tc>
        <w:tc>
          <w:tcPr>
            <w:tcW w:w="5615" w:type="dxa"/>
          </w:tcPr>
          <w:p w14:paraId="601543E9"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Een landbouwmethode waarbij gebruik wordt gemaakt van synthetische chemische meststoffen, pesticiden en herbiciden (en soms genetisch gemodificeerde organismen) om de oogsten te maximaliseren. Dit maakt dit soort landbouwbedrijven minder afhankelijk van culturele (gewasrotatie, gebruik van gewassen die atmosferische N fixeren), biologische en mechanische praktijken die het circuleren van hulpbronnen stimuleren, ecologisch evenwicht bevorderen en biodiversiteit behouden. Vaak behelst dit grootschalige monocultuur (het kweken van één enkel gewas over een groot oppervlak) en mechanische praktijken om de werkzaamheden te stroomlijnen en arbeidskosten te verlagen.</w:t>
            </w:r>
          </w:p>
        </w:tc>
        <w:tc>
          <w:tcPr>
            <w:tcW w:w="616" w:type="dxa"/>
          </w:tcPr>
          <w:p w14:paraId="2ADB369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4, 44</w:t>
            </w:r>
          </w:p>
        </w:tc>
      </w:tr>
      <w:tr w:rsidR="006E7F98" w:rsidRPr="007B0BF3" w14:paraId="04540F38" w14:textId="77777777" w:rsidTr="2C6C7817">
        <w:tc>
          <w:tcPr>
            <w:tcW w:w="2062" w:type="dxa"/>
          </w:tcPr>
          <w:p w14:paraId="1C3D69A8"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Denitrificatie</w:t>
            </w:r>
          </w:p>
        </w:tc>
        <w:tc>
          <w:tcPr>
            <w:tcW w:w="1469" w:type="dxa"/>
          </w:tcPr>
          <w:p w14:paraId="7B0B0E6C" w14:textId="77777777" w:rsidR="006E7F98" w:rsidRPr="007B0BF3" w:rsidRDefault="006E7F98" w:rsidP="002A67F8">
            <w:pPr>
              <w:jc w:val="both"/>
              <w:rPr>
                <w:rFonts w:ascii="Times New Roman" w:hAnsi="Times New Roman" w:cs="Times New Roman"/>
                <w:lang w:val="en-GB"/>
              </w:rPr>
            </w:pPr>
          </w:p>
        </w:tc>
        <w:tc>
          <w:tcPr>
            <w:tcW w:w="5615" w:type="dxa"/>
          </w:tcPr>
          <w:p w14:paraId="72352E82"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Een proces dat door enkele soorten anaerobe bodembacteriën wordt uitgevoerd, waarbij nitriet of nitraat wordt omgezet in stikstofgas (N</w:t>
            </w:r>
            <w:r w:rsidRPr="007B0BF3">
              <w:rPr>
                <w:rFonts w:ascii="Times New Roman" w:hAnsi="Times New Roman" w:cs="Times New Roman"/>
                <w:vertAlign w:val="subscript"/>
                <w:lang w:val="nl"/>
              </w:rPr>
              <w:t>2</w:t>
            </w:r>
            <w:r w:rsidRPr="007B0BF3">
              <w:rPr>
                <w:rFonts w:ascii="Times New Roman" w:hAnsi="Times New Roman" w:cs="Times New Roman"/>
                <w:lang w:val="nl"/>
              </w:rPr>
              <w:t>) of lachgas (N</w:t>
            </w:r>
            <w:r w:rsidRPr="007B0BF3">
              <w:rPr>
                <w:rFonts w:ascii="Times New Roman" w:hAnsi="Times New Roman" w:cs="Times New Roman"/>
                <w:vertAlign w:val="subscript"/>
                <w:lang w:val="nl"/>
              </w:rPr>
              <w:t>2</w:t>
            </w:r>
            <w:r w:rsidRPr="007B0BF3">
              <w:rPr>
                <w:rFonts w:ascii="Times New Roman" w:hAnsi="Times New Roman" w:cs="Times New Roman"/>
                <w:lang w:val="nl"/>
              </w:rPr>
              <w:t>O). Zowel N</w:t>
            </w:r>
            <w:r w:rsidRPr="007B0BF3">
              <w:rPr>
                <w:rFonts w:ascii="Times New Roman" w:hAnsi="Times New Roman" w:cs="Times New Roman"/>
                <w:vertAlign w:val="subscript"/>
                <w:lang w:val="nl"/>
              </w:rPr>
              <w:t>2</w:t>
            </w:r>
            <w:r w:rsidRPr="007B0BF3">
              <w:rPr>
                <w:rFonts w:ascii="Times New Roman" w:hAnsi="Times New Roman" w:cs="Times New Roman"/>
                <w:lang w:val="nl"/>
              </w:rPr>
              <w:t xml:space="preserve"> als N</w:t>
            </w:r>
            <w:r w:rsidRPr="007B0BF3">
              <w:rPr>
                <w:rFonts w:ascii="Times New Roman" w:hAnsi="Times New Roman" w:cs="Times New Roman"/>
                <w:vertAlign w:val="subscript"/>
                <w:lang w:val="nl"/>
              </w:rPr>
              <w:t>2</w:t>
            </w:r>
            <w:r w:rsidRPr="007B0BF3">
              <w:rPr>
                <w:rFonts w:ascii="Times New Roman" w:hAnsi="Times New Roman" w:cs="Times New Roman"/>
                <w:lang w:val="nl"/>
              </w:rPr>
              <w:t>O zijn vluchtig en gaan verloren naar de atmosfeer.</w:t>
            </w:r>
          </w:p>
        </w:tc>
        <w:tc>
          <w:tcPr>
            <w:tcW w:w="616" w:type="dxa"/>
          </w:tcPr>
          <w:p w14:paraId="7D461301"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5791F1B6" w14:textId="77777777" w:rsidTr="2C6C7817">
        <w:tc>
          <w:tcPr>
            <w:tcW w:w="2062" w:type="dxa"/>
          </w:tcPr>
          <w:p w14:paraId="27D88294"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Drainage (natuurlijk)</w:t>
            </w:r>
          </w:p>
        </w:tc>
        <w:tc>
          <w:tcPr>
            <w:tcW w:w="1469" w:type="dxa"/>
          </w:tcPr>
          <w:p w14:paraId="38163A30" w14:textId="77777777" w:rsidR="006E7F98" w:rsidRPr="007B0BF3" w:rsidRDefault="006E7F98" w:rsidP="002A67F8">
            <w:pPr>
              <w:jc w:val="both"/>
              <w:rPr>
                <w:rFonts w:ascii="Times New Roman" w:hAnsi="Times New Roman" w:cs="Times New Roman"/>
                <w:lang w:val="en-GB"/>
              </w:rPr>
            </w:pPr>
          </w:p>
        </w:tc>
        <w:tc>
          <w:tcPr>
            <w:tcW w:w="5615" w:type="dxa"/>
          </w:tcPr>
          <w:p w14:paraId="47C315C9" w14:textId="77777777" w:rsidR="006E7F98" w:rsidRPr="007B0BF3" w:rsidRDefault="006E7F98" w:rsidP="002A67F8">
            <w:pPr>
              <w:jc w:val="both"/>
              <w:rPr>
                <w:rFonts w:ascii="Times New Roman" w:hAnsi="Times New Roman" w:cs="Times New Roman"/>
                <w:lang w:val="nl-NL"/>
              </w:rPr>
            </w:pPr>
          </w:p>
          <w:p w14:paraId="22278B66"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natuurlijke vermogen van het bodemprofiel om overtollig water af te voeren door middel van percolatie. Dit in tegenstelling tot kunstmatige drainage, doorgaans via een systeem van afvoeren of sloten.</w:t>
            </w:r>
          </w:p>
        </w:tc>
        <w:tc>
          <w:tcPr>
            <w:tcW w:w="616" w:type="dxa"/>
          </w:tcPr>
          <w:p w14:paraId="621B978D"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72D9524A" w14:textId="77777777" w:rsidTr="2C6C7817">
        <w:tc>
          <w:tcPr>
            <w:tcW w:w="2062" w:type="dxa"/>
          </w:tcPr>
          <w:p w14:paraId="14F2A5C4"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Drijfmest</w:t>
            </w:r>
          </w:p>
        </w:tc>
        <w:tc>
          <w:tcPr>
            <w:tcW w:w="1469" w:type="dxa"/>
          </w:tcPr>
          <w:p w14:paraId="3BCE1117" w14:textId="77777777" w:rsidR="006E7F98" w:rsidRPr="007B0BF3" w:rsidRDefault="006E7F98" w:rsidP="00525540">
            <w:pPr>
              <w:jc w:val="both"/>
              <w:rPr>
                <w:rFonts w:ascii="Times New Roman" w:hAnsi="Times New Roman" w:cs="Times New Roman"/>
                <w:lang w:val="en-GB"/>
              </w:rPr>
            </w:pPr>
          </w:p>
        </w:tc>
        <w:tc>
          <w:tcPr>
            <w:tcW w:w="5615" w:type="dxa"/>
          </w:tcPr>
          <w:p w14:paraId="6B7284BB"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Drijfmest is een mengsel van dierlijke mest en water, vaak met aanvullende organische materie, die half vloeibaar van consistentie is. Deze wordt vaak in veehouderijsystemen geproduceerd, met name met dieren in stallen of andere onderkomens, zoals zuivel-, varkens- en pluimveebedrijven. Drijfmest wordt doorgaans uit dierenverblijven verzameld en in tanks, bassins of putten opgeslagen voordat het op landbouwgrond wordt aangebracht als voedingsstofrijke meststof.</w:t>
            </w:r>
          </w:p>
        </w:tc>
        <w:tc>
          <w:tcPr>
            <w:tcW w:w="616" w:type="dxa"/>
          </w:tcPr>
          <w:p w14:paraId="235AF0E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4, 42</w:t>
            </w:r>
          </w:p>
        </w:tc>
      </w:tr>
      <w:tr w:rsidR="006E7F98" w:rsidRPr="007B0BF3" w14:paraId="02A4721A" w14:textId="77777777" w:rsidTr="2C6C7817">
        <w:tc>
          <w:tcPr>
            <w:tcW w:w="2062" w:type="dxa"/>
          </w:tcPr>
          <w:p w14:paraId="1636E8CE"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lastRenderedPageBreak/>
              <w:t>Ecosysteemdiensten</w:t>
            </w:r>
          </w:p>
        </w:tc>
        <w:tc>
          <w:tcPr>
            <w:tcW w:w="1469" w:type="dxa"/>
          </w:tcPr>
          <w:p w14:paraId="538DED7E" w14:textId="77777777" w:rsidR="006E7F98" w:rsidRPr="007B0BF3" w:rsidRDefault="006E7F98" w:rsidP="002A67F8">
            <w:pPr>
              <w:jc w:val="both"/>
              <w:rPr>
                <w:rFonts w:ascii="Times New Roman" w:hAnsi="Times New Roman" w:cs="Times New Roman"/>
                <w:lang w:val="en-GB"/>
              </w:rPr>
            </w:pPr>
          </w:p>
        </w:tc>
        <w:tc>
          <w:tcPr>
            <w:tcW w:w="5615" w:type="dxa"/>
          </w:tcPr>
          <w:p w14:paraId="06DCDFA1"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De bijdragen van ecosystemen aan de voordelen behaald door economische en andere menselijke activiteit. Ecosysteemdiensten kunnen in brede zin in vier categorieën worden ingedeeld:</w:t>
            </w:r>
          </w:p>
          <w:p w14:paraId="627BE9B2" w14:textId="77777777" w:rsidR="006E7F98" w:rsidRPr="007B0BF3" w:rsidRDefault="006E7F98" w:rsidP="00373999">
            <w:pPr>
              <w:pStyle w:val="ListParagraph"/>
              <w:numPr>
                <w:ilvl w:val="0"/>
                <w:numId w:val="4"/>
              </w:numPr>
              <w:ind w:left="360"/>
              <w:jc w:val="both"/>
              <w:rPr>
                <w:rFonts w:ascii="Times New Roman" w:hAnsi="Times New Roman" w:cs="Times New Roman"/>
                <w:lang w:val="nl-NL"/>
              </w:rPr>
            </w:pPr>
            <w:r w:rsidRPr="007B0BF3">
              <w:rPr>
                <w:rFonts w:ascii="Times New Roman" w:hAnsi="Times New Roman" w:cs="Times New Roman"/>
                <w:lang w:val="nl"/>
              </w:rPr>
              <w:t xml:space="preserve">Voorzieningsdiensten, de materiële bijdragen en energiebijdragen die door of in een ecosysteem worden gegenereerd (bijv. planten met farmaceutische eigenschappen). </w:t>
            </w:r>
          </w:p>
          <w:p w14:paraId="46C13312" w14:textId="77777777" w:rsidR="006E7F98" w:rsidRPr="007B0BF3" w:rsidRDefault="006E7F98" w:rsidP="00CB5EC8">
            <w:pPr>
              <w:pStyle w:val="ListParagraph"/>
              <w:numPr>
                <w:ilvl w:val="0"/>
                <w:numId w:val="4"/>
              </w:numPr>
              <w:ind w:left="360"/>
              <w:jc w:val="both"/>
              <w:rPr>
                <w:rFonts w:ascii="Times New Roman" w:hAnsi="Times New Roman" w:cs="Times New Roman"/>
                <w:lang w:val="nl-NL"/>
              </w:rPr>
            </w:pPr>
            <w:r w:rsidRPr="007B0BF3">
              <w:rPr>
                <w:rFonts w:ascii="Times New Roman" w:hAnsi="Times New Roman" w:cs="Times New Roman"/>
                <w:lang w:val="nl"/>
              </w:rPr>
              <w:t xml:space="preserve">Regulerende diensten, het gevolg van de capaciteit van ecosystemen om het klimaat, hydrologische en biochemische kringlopen, aardoppervlakteprocessen en allerlei biologische processen te reguleren. </w:t>
            </w:r>
          </w:p>
          <w:p w14:paraId="7CD11878" w14:textId="77777777" w:rsidR="006E7F98" w:rsidRPr="007B0BF3" w:rsidRDefault="006E7F98" w:rsidP="00CB5EC8">
            <w:pPr>
              <w:pStyle w:val="ListParagraph"/>
              <w:numPr>
                <w:ilvl w:val="0"/>
                <w:numId w:val="4"/>
              </w:numPr>
              <w:ind w:left="360"/>
              <w:jc w:val="both"/>
              <w:rPr>
                <w:rFonts w:ascii="Times New Roman" w:hAnsi="Times New Roman" w:cs="Times New Roman"/>
                <w:lang w:val="nl-NL"/>
              </w:rPr>
            </w:pPr>
            <w:r w:rsidRPr="007B0BF3">
              <w:rPr>
                <w:rFonts w:ascii="Times New Roman" w:hAnsi="Times New Roman" w:cs="Times New Roman"/>
                <w:lang w:val="nl"/>
              </w:rPr>
              <w:t>Culturele diensten, gegenereerd uit de fysieke omgevingen, locaties of situaties die aanleiding geven tot intellectuele en symbolische voordelen die mensen uit ecosystemen verkrijgen door middel van recreatie, kennisontwikkeling, ontspanning en spirituele reflectie.</w:t>
            </w:r>
          </w:p>
          <w:p w14:paraId="7CA4B91D" w14:textId="77777777" w:rsidR="006E7F98" w:rsidRPr="007B0BF3" w:rsidRDefault="006E7F98" w:rsidP="00373999">
            <w:pPr>
              <w:pStyle w:val="ListParagraph"/>
              <w:numPr>
                <w:ilvl w:val="0"/>
                <w:numId w:val="4"/>
              </w:numPr>
              <w:ind w:left="360"/>
              <w:jc w:val="both"/>
              <w:rPr>
                <w:rFonts w:ascii="Times New Roman" w:hAnsi="Times New Roman" w:cs="Times New Roman"/>
                <w:lang w:val="nl-NL"/>
              </w:rPr>
            </w:pPr>
            <w:r w:rsidRPr="007B0BF3">
              <w:rPr>
                <w:rFonts w:ascii="Times New Roman" w:hAnsi="Times New Roman" w:cs="Times New Roman"/>
                <w:lang w:val="nl"/>
              </w:rPr>
              <w:t>Ondersteunende diensten zijn de fundamentele natuurprocessen die de omstandigheden voor het leven op aarde in stand houden en de voorziening van alle andere ecosysteemdiensten mogelijk maken (voorzienings-, regulerende en culturele diensten). Deze diensten zijn onder meer bodemvorming, voedingsstoffenkringloop, primaire productie, waterkringloop en habitatvoorziening.</w:t>
            </w:r>
          </w:p>
        </w:tc>
        <w:tc>
          <w:tcPr>
            <w:tcW w:w="616" w:type="dxa"/>
          </w:tcPr>
          <w:p w14:paraId="565E81B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1, 43</w:t>
            </w:r>
          </w:p>
        </w:tc>
      </w:tr>
      <w:tr w:rsidR="006E7F98" w:rsidRPr="007B0BF3" w14:paraId="474B7633" w14:textId="77777777" w:rsidTr="2C6C7817">
        <w:tc>
          <w:tcPr>
            <w:tcW w:w="2062" w:type="dxa"/>
          </w:tcPr>
          <w:p w14:paraId="79BA10A1"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Edafon</w:t>
            </w:r>
          </w:p>
        </w:tc>
        <w:tc>
          <w:tcPr>
            <w:tcW w:w="1469" w:type="dxa"/>
          </w:tcPr>
          <w:p w14:paraId="721CF1BD" w14:textId="77777777" w:rsidR="006E7F98" w:rsidRPr="007B0BF3" w:rsidRDefault="006E7F98" w:rsidP="002A67F8">
            <w:pPr>
              <w:jc w:val="both"/>
              <w:rPr>
                <w:rFonts w:ascii="Times New Roman" w:hAnsi="Times New Roman" w:cs="Times New Roman"/>
                <w:lang w:val="en-GB"/>
              </w:rPr>
            </w:pPr>
          </w:p>
        </w:tc>
        <w:tc>
          <w:tcPr>
            <w:tcW w:w="5615" w:type="dxa"/>
          </w:tcPr>
          <w:p w14:paraId="5B72DD2A"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De gemeenschap van bodemorganismen (bijv. bacteriën, schimmels, rondwormen, aardwormen, insecten, protozoa).</w:t>
            </w:r>
          </w:p>
        </w:tc>
        <w:tc>
          <w:tcPr>
            <w:tcW w:w="616" w:type="dxa"/>
          </w:tcPr>
          <w:p w14:paraId="609B77B0"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0DD22C76" w14:textId="77777777" w:rsidTr="2C6C7817">
        <w:tc>
          <w:tcPr>
            <w:tcW w:w="2062" w:type="dxa"/>
          </w:tcPr>
          <w:p w14:paraId="35026582"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Elektrisch geleidingsvermogen</w:t>
            </w:r>
          </w:p>
        </w:tc>
        <w:tc>
          <w:tcPr>
            <w:tcW w:w="1469" w:type="dxa"/>
          </w:tcPr>
          <w:p w14:paraId="37FD040B" w14:textId="77777777" w:rsidR="006E7F98" w:rsidRPr="007B0BF3" w:rsidRDefault="006E7F98" w:rsidP="002A67F8">
            <w:pPr>
              <w:jc w:val="both"/>
              <w:rPr>
                <w:rFonts w:ascii="Times New Roman" w:hAnsi="Times New Roman" w:cs="Times New Roman"/>
                <w:lang w:val="en-GB"/>
              </w:rPr>
            </w:pPr>
          </w:p>
        </w:tc>
        <w:tc>
          <w:tcPr>
            <w:tcW w:w="5615" w:type="dxa"/>
          </w:tcPr>
          <w:p w14:paraId="0090EF58"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De maat voor het vermogen van een materiaal om een elektrische lading te transporteren. Het wordt gebruikt als een maat voor het zoutgehalte van de bodem en om praktische gevolgen voor gewassen te schatten. Het elektrisch geleidingsvermogen van een bodemsuspensie bij een gegeven verhouding tussen bodem en water (doorgaans 1:5 of verzadigd extract als benadering van bodemoplossing), uitgedrukt als Siemens per m.</w:t>
            </w:r>
          </w:p>
        </w:tc>
        <w:tc>
          <w:tcPr>
            <w:tcW w:w="616" w:type="dxa"/>
          </w:tcPr>
          <w:p w14:paraId="533AB22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30876808" w14:textId="77777777" w:rsidTr="2C6C7817">
        <w:tc>
          <w:tcPr>
            <w:tcW w:w="2062" w:type="dxa"/>
          </w:tcPr>
          <w:p w14:paraId="53006E14"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Eutrofiëring</w:t>
            </w:r>
          </w:p>
        </w:tc>
        <w:tc>
          <w:tcPr>
            <w:tcW w:w="1469" w:type="dxa"/>
          </w:tcPr>
          <w:p w14:paraId="528BCC7B" w14:textId="77777777" w:rsidR="006E7F98" w:rsidRPr="007B0BF3" w:rsidRDefault="006E7F98" w:rsidP="002A67F8">
            <w:pPr>
              <w:jc w:val="both"/>
              <w:rPr>
                <w:rFonts w:ascii="Times New Roman" w:hAnsi="Times New Roman" w:cs="Times New Roman"/>
                <w:lang w:val="en-GB"/>
              </w:rPr>
            </w:pPr>
          </w:p>
        </w:tc>
        <w:tc>
          <w:tcPr>
            <w:tcW w:w="5615" w:type="dxa"/>
          </w:tcPr>
          <w:p w14:paraId="58307501"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Proces waarbij een waterlichaam, zoals een meer of een bodemoplossing, verrijkt wordt met opgeloste voedingsstoffen. Dit kan natuurlijk zijn, maar is vaak het gevolg van verontreiniging. Eutrofiëring kan leiden tot algenbloei, die uiteindelijk aanleiding geeft tot anaerobe omstandigheden die schadelijk kunnen zijn voor vissen.</w:t>
            </w:r>
          </w:p>
        </w:tc>
        <w:tc>
          <w:tcPr>
            <w:tcW w:w="616" w:type="dxa"/>
          </w:tcPr>
          <w:p w14:paraId="56059DE6"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3F66617B" w14:textId="77777777" w:rsidTr="2C6C7817">
        <w:tc>
          <w:tcPr>
            <w:tcW w:w="2062" w:type="dxa"/>
          </w:tcPr>
          <w:p w14:paraId="55AECED3"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Evapotranspiratie</w:t>
            </w:r>
          </w:p>
        </w:tc>
        <w:tc>
          <w:tcPr>
            <w:tcW w:w="1469" w:type="dxa"/>
          </w:tcPr>
          <w:p w14:paraId="2E415F47" w14:textId="77777777" w:rsidR="006E7F98" w:rsidRPr="007B0BF3" w:rsidRDefault="006E7F98" w:rsidP="002A67F8">
            <w:pPr>
              <w:jc w:val="both"/>
              <w:rPr>
                <w:rFonts w:ascii="Times New Roman" w:hAnsi="Times New Roman" w:cs="Times New Roman"/>
                <w:color w:val="3A7C22" w:themeColor="accent6" w:themeShade="BF"/>
                <w:lang w:val="en-GB"/>
              </w:rPr>
            </w:pPr>
          </w:p>
        </w:tc>
        <w:tc>
          <w:tcPr>
            <w:tcW w:w="5615" w:type="dxa"/>
          </w:tcPr>
          <w:p w14:paraId="1CF0EC7B"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proces waarbij water overgaat van een vloeistof naar een damp (gastoestand) door transpiratie uit plantengroei en verdamping uit de bodem en vanaf plantenoppervlakken. De snelheid van evapotranspiratie wordt doorgaans uitgedrukt in mm dag-¹. Er kan onderscheid gemaakt worden tussen de potentiële evapotranspiratie bij onbeperkte beschikbaarheid van water en de eigenlijke evapotranspiratie bij beperkte beschikbaarheid.</w:t>
            </w:r>
          </w:p>
        </w:tc>
        <w:tc>
          <w:tcPr>
            <w:tcW w:w="616" w:type="dxa"/>
          </w:tcPr>
          <w:p w14:paraId="61ACDB4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7C6E8460" w14:textId="77777777" w:rsidTr="2C6C7817">
        <w:tc>
          <w:tcPr>
            <w:tcW w:w="2062" w:type="dxa"/>
          </w:tcPr>
          <w:p w14:paraId="55B68838"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Extensivering</w:t>
            </w:r>
          </w:p>
        </w:tc>
        <w:tc>
          <w:tcPr>
            <w:tcW w:w="1469" w:type="dxa"/>
          </w:tcPr>
          <w:p w14:paraId="5694B2B2" w14:textId="77777777" w:rsidR="006E7F98" w:rsidRPr="007B0BF3" w:rsidRDefault="006E7F98" w:rsidP="002A67F8">
            <w:pPr>
              <w:jc w:val="both"/>
              <w:rPr>
                <w:rFonts w:ascii="Times New Roman" w:hAnsi="Times New Roman" w:cs="Times New Roman"/>
                <w:lang w:val="en-GB"/>
              </w:rPr>
            </w:pPr>
          </w:p>
        </w:tc>
        <w:tc>
          <w:tcPr>
            <w:tcW w:w="5615" w:type="dxa"/>
          </w:tcPr>
          <w:p w14:paraId="21983527" w14:textId="77777777" w:rsidR="006E7F98" w:rsidRPr="007B0BF3" w:rsidRDefault="006E7F98" w:rsidP="002A67F8">
            <w:pPr>
              <w:jc w:val="both"/>
              <w:rPr>
                <w:rFonts w:ascii="Times New Roman" w:hAnsi="Times New Roman" w:cs="Times New Roman"/>
                <w:lang w:val="en-GB"/>
              </w:rPr>
            </w:pPr>
            <w:r w:rsidRPr="007B0BF3">
              <w:rPr>
                <w:rFonts w:ascii="Times New Roman" w:hAnsi="Times New Roman" w:cs="Times New Roman"/>
                <w:lang w:val="nl"/>
              </w:rPr>
              <w:t xml:space="preserve">Het proces van het verminderen van het gebruik van kapitaal en input (bijv. meststoffen, pesticiden, machinerie, energie) ten opzichte van landoppervlak. Door een verminderde input per landoppervlak kan de druk op het milieu worden verlaagd. Een afname in gebruikte pesticiden kan bijvoorbeeld het risico van afvloeiing van pesticiden in oppervlakte- en </w:t>
            </w:r>
            <w:r w:rsidRPr="007B0BF3">
              <w:rPr>
                <w:rFonts w:ascii="Times New Roman" w:hAnsi="Times New Roman" w:cs="Times New Roman"/>
                <w:lang w:val="nl"/>
              </w:rPr>
              <w:lastRenderedPageBreak/>
              <w:t>grondwater (‘verlies per oppervlakte-eenheid’) verlagen. Het eigenlijke effect van een verminderd gebruik van input op het milieu hangt echter niet alleen af van de gebruikte hoeveelheid input, maar ook van hoe die wordt toegepast en de mate waarin verminderde input leidt tot lagere productie (‘verlies per eenheid product’). Daarom leidt extensivering niet noodzakelijkerwijs tot een milieuvriendelijkere situatie.</w:t>
            </w:r>
          </w:p>
        </w:tc>
        <w:tc>
          <w:tcPr>
            <w:tcW w:w="616" w:type="dxa"/>
          </w:tcPr>
          <w:p w14:paraId="673BCE8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4</w:t>
            </w:r>
          </w:p>
        </w:tc>
      </w:tr>
      <w:tr w:rsidR="006E7F98" w:rsidRPr="007B0BF3" w14:paraId="674B53A0" w14:textId="77777777" w:rsidTr="2C6C7817">
        <w:tc>
          <w:tcPr>
            <w:tcW w:w="2062" w:type="dxa"/>
          </w:tcPr>
          <w:p w14:paraId="36D962B1"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Functioneel landbeheer</w:t>
            </w:r>
          </w:p>
        </w:tc>
        <w:tc>
          <w:tcPr>
            <w:tcW w:w="1469" w:type="dxa"/>
          </w:tcPr>
          <w:p w14:paraId="4CABF80B" w14:textId="77777777" w:rsidR="006E7F98" w:rsidRPr="007B0BF3" w:rsidRDefault="006E7F98" w:rsidP="00525540">
            <w:pPr>
              <w:jc w:val="both"/>
              <w:rPr>
                <w:rFonts w:ascii="Times New Roman" w:hAnsi="Times New Roman" w:cs="Times New Roman"/>
                <w:lang w:val="en-GB"/>
              </w:rPr>
            </w:pPr>
          </w:p>
        </w:tc>
        <w:tc>
          <w:tcPr>
            <w:tcW w:w="5615" w:type="dxa"/>
          </w:tcPr>
          <w:p w14:paraId="7C578C5E"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Een conceptueel kader voor het optimaliseren van de levering van ecosysteemdiensten op basis van vijf centrale bodemfuncties, op verschillende ruimtelijke schalen, om tegelijkertijd te voldoen aan agronomische en milieubeleidsdoelstellingen.</w:t>
            </w:r>
          </w:p>
          <w:p w14:paraId="45B0F233"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Meer info: Concept bodemfuncties </w:t>
            </w:r>
            <w:hyperlink r:id="rId12" w:history="1">
              <w:r w:rsidRPr="007B0BF3">
                <w:rPr>
                  <w:rStyle w:val="Hyperlink"/>
                  <w:rFonts w:ascii="Times New Roman" w:hAnsi="Times New Roman" w:cs="Times New Roman"/>
                  <w:lang w:val="nl"/>
                </w:rPr>
                <w:t>http://landmarkproject.eu/soil-functions-concept/</w:t>
              </w:r>
            </w:hyperlink>
            <w:r w:rsidRPr="007B0BF3">
              <w:rPr>
                <w:rFonts w:ascii="Times New Roman" w:hAnsi="Times New Roman" w:cs="Times New Roman"/>
                <w:lang w:val="nl"/>
              </w:rPr>
              <w:t>.</w:t>
            </w:r>
          </w:p>
        </w:tc>
        <w:tc>
          <w:tcPr>
            <w:tcW w:w="616" w:type="dxa"/>
          </w:tcPr>
          <w:p w14:paraId="304878B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28333B19" w14:textId="77777777" w:rsidTr="2C6C7817">
        <w:tc>
          <w:tcPr>
            <w:tcW w:w="2062" w:type="dxa"/>
          </w:tcPr>
          <w:p w14:paraId="4FD410D8"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Groene mest</w:t>
            </w:r>
          </w:p>
        </w:tc>
        <w:tc>
          <w:tcPr>
            <w:tcW w:w="1469" w:type="dxa"/>
          </w:tcPr>
          <w:p w14:paraId="159701A4" w14:textId="77777777" w:rsidR="006E7F98" w:rsidRPr="007B0BF3" w:rsidRDefault="006E7F98" w:rsidP="00525540">
            <w:pPr>
              <w:jc w:val="both"/>
              <w:rPr>
                <w:rFonts w:ascii="Times New Roman" w:hAnsi="Times New Roman" w:cs="Times New Roman"/>
                <w:lang w:val="en-GB"/>
              </w:rPr>
            </w:pPr>
          </w:p>
        </w:tc>
        <w:tc>
          <w:tcPr>
            <w:tcW w:w="5615" w:type="dxa"/>
          </w:tcPr>
          <w:p w14:paraId="5D26BBE1"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Niet-geoogst gewas dat tussen twee hoofdgewasseizoenen wordt geteeld, bedoeld om de bodemvruchtbaarheid te verbeteren, dat over het algemeen niet groeit onder stikstofbeperking wegens het gebruik van meststoffen en mest, of met het vermogen om atmosferische N te fixeren.</w:t>
            </w:r>
          </w:p>
        </w:tc>
        <w:tc>
          <w:tcPr>
            <w:tcW w:w="616" w:type="dxa"/>
          </w:tcPr>
          <w:p w14:paraId="320295A2"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6D34C22C" w14:textId="77777777" w:rsidTr="2C6C7817">
        <w:tc>
          <w:tcPr>
            <w:tcW w:w="2062" w:type="dxa"/>
          </w:tcPr>
          <w:p w14:paraId="506F005A"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Grondwater</w:t>
            </w:r>
          </w:p>
        </w:tc>
        <w:tc>
          <w:tcPr>
            <w:tcW w:w="1469" w:type="dxa"/>
          </w:tcPr>
          <w:p w14:paraId="4D6D6778" w14:textId="77777777" w:rsidR="006E7F98" w:rsidRPr="007B0BF3" w:rsidRDefault="006E7F98" w:rsidP="00525540">
            <w:pPr>
              <w:jc w:val="both"/>
              <w:rPr>
                <w:rFonts w:ascii="Times New Roman" w:hAnsi="Times New Roman" w:cs="Times New Roman"/>
                <w:lang w:val="en-GB"/>
              </w:rPr>
            </w:pPr>
          </w:p>
        </w:tc>
        <w:tc>
          <w:tcPr>
            <w:tcW w:w="5615" w:type="dxa"/>
          </w:tcPr>
          <w:p w14:paraId="79273A36"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Zoet water onder het aardoppervlak dat de holtes in de aardkorst (poriën, spleten in bodem, zand en rots) aaneengesloten vult, en dat putten en bronnen voedt, met uitzondering van water in de vadose (onverzadigde) zone. De definitie is van toepassing op alle permanente en tijdelijke waterlagen, zowel kunstmatig als natuurlijk gevormd, met voldoende kwaliteit voor ten minste seizoensgebonden gebruik. Grondwaterreserves worden aangevuld door regen en smeltende sneeuw, afhankelijk van de klimaatomstandigheden. Ze kunnen doorgaans worden gewonnen uit of via een ondergrondse formatie.</w:t>
            </w:r>
          </w:p>
        </w:tc>
        <w:tc>
          <w:tcPr>
            <w:tcW w:w="616" w:type="dxa"/>
          </w:tcPr>
          <w:p w14:paraId="70F11EBA"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61C9115F" w14:textId="77777777" w:rsidTr="2C6C7817">
        <w:tc>
          <w:tcPr>
            <w:tcW w:w="2062" w:type="dxa"/>
          </w:tcPr>
          <w:p w14:paraId="1C0A14E3"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Holistische benadering</w:t>
            </w:r>
          </w:p>
        </w:tc>
        <w:tc>
          <w:tcPr>
            <w:tcW w:w="1469" w:type="dxa"/>
          </w:tcPr>
          <w:p w14:paraId="49D00887" w14:textId="77777777" w:rsidR="006E7F98" w:rsidRPr="007B0BF3" w:rsidRDefault="006E7F98" w:rsidP="00A655ED">
            <w:pPr>
              <w:jc w:val="both"/>
              <w:rPr>
                <w:rFonts w:ascii="Times New Roman" w:hAnsi="Times New Roman" w:cs="Times New Roman"/>
                <w:lang w:val="en-GB"/>
              </w:rPr>
            </w:pPr>
          </w:p>
        </w:tc>
        <w:tc>
          <w:tcPr>
            <w:tcW w:w="5615" w:type="dxa"/>
          </w:tcPr>
          <w:p w14:paraId="4CE4087F"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 xml:space="preserve">Een methode die het gehele systeem in aanmerking neemt in plaats van alleen te focussen op individuele onderdelen. Bij deze benadering wordt nadruk gelegd op de onderlinge verbondenheid van diverse elementen binnen een systeem en wordt erkend dat veranderingen op één gebied aanzienlijke invloed op andere kan hebben. Een holistische benadering integreert diverse perspectieven en disciplines om een completer begrip van een probleem en de context ervan te geven. Deze methode bevordert samenwerking tussen belanghebbenden en moedigt oplossingen aan die in verschillende domeinen duurzaam en effectief zijn. Dit wordt vaak toegepast op gebieden als gezondheidszorg, onderwijs, milieuwetenschap en sociaal beleid. </w:t>
            </w:r>
          </w:p>
        </w:tc>
        <w:tc>
          <w:tcPr>
            <w:tcW w:w="616" w:type="dxa"/>
          </w:tcPr>
          <w:p w14:paraId="6326C7BA"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Loess</w:t>
            </w:r>
          </w:p>
        </w:tc>
      </w:tr>
      <w:tr w:rsidR="006E7F98" w:rsidRPr="007B0BF3" w14:paraId="75B830CE" w14:textId="77777777" w:rsidTr="2C6C7817">
        <w:tc>
          <w:tcPr>
            <w:tcW w:w="2062" w:type="dxa"/>
          </w:tcPr>
          <w:p w14:paraId="79AC4B71"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Humificatie</w:t>
            </w:r>
          </w:p>
        </w:tc>
        <w:tc>
          <w:tcPr>
            <w:tcW w:w="1469" w:type="dxa"/>
          </w:tcPr>
          <w:p w14:paraId="61D71766" w14:textId="77777777" w:rsidR="006E7F98" w:rsidRPr="007B0BF3" w:rsidRDefault="006E7F98" w:rsidP="00525540">
            <w:pPr>
              <w:jc w:val="both"/>
              <w:rPr>
                <w:rFonts w:ascii="Times New Roman" w:hAnsi="Times New Roman" w:cs="Times New Roman"/>
                <w:lang w:val="en-GB"/>
              </w:rPr>
            </w:pPr>
          </w:p>
        </w:tc>
        <w:tc>
          <w:tcPr>
            <w:tcW w:w="5615" w:type="dxa"/>
          </w:tcPr>
          <w:p w14:paraId="13A98CE2"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Proces waardoor de koolstof van organische resten wordt omgezet in humusstoffen, via biochemische en abiotische processen.</w:t>
            </w:r>
          </w:p>
        </w:tc>
        <w:tc>
          <w:tcPr>
            <w:tcW w:w="616" w:type="dxa"/>
          </w:tcPr>
          <w:p w14:paraId="6A8E71F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087044D1" w14:textId="77777777" w:rsidTr="2C6C7817">
        <w:tc>
          <w:tcPr>
            <w:tcW w:w="2062" w:type="dxa"/>
          </w:tcPr>
          <w:p w14:paraId="363541A1"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Humus</w:t>
            </w:r>
          </w:p>
        </w:tc>
        <w:tc>
          <w:tcPr>
            <w:tcW w:w="1469" w:type="dxa"/>
          </w:tcPr>
          <w:p w14:paraId="34237B74" w14:textId="77777777" w:rsidR="006E7F98" w:rsidRPr="007B0BF3" w:rsidRDefault="006E7F98" w:rsidP="00525540">
            <w:pPr>
              <w:jc w:val="both"/>
              <w:rPr>
                <w:rFonts w:ascii="Times New Roman" w:hAnsi="Times New Roman" w:cs="Times New Roman"/>
                <w:lang w:val="en-GB"/>
              </w:rPr>
            </w:pPr>
          </w:p>
        </w:tc>
        <w:tc>
          <w:tcPr>
            <w:tcW w:w="5615" w:type="dxa"/>
          </w:tcPr>
          <w:p w14:paraId="5043F34C"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donkere, amorfe</w:t>
            </w:r>
            <w:r w:rsidRPr="007B0BF3">
              <w:rPr>
                <w:lang w:val="nl"/>
              </w:rPr>
              <w:t xml:space="preserve"> </w:t>
            </w:r>
            <w:r w:rsidRPr="007B0BF3">
              <w:rPr>
                <w:rFonts w:ascii="Times New Roman" w:hAnsi="Times New Roman" w:cs="Times New Roman"/>
                <w:lang w:val="nl"/>
              </w:rPr>
              <w:t xml:space="preserve">organische bestanddeel dat gevormd wordt door ontleding van plantaardige en dierlijke resten door bodemmicro-organismen in minerale bodems, met een laag soortelijk gewicht en grote oppervlakte; doorgaans bestaande uit veel organische verbindingen met een hoog molecuulgewicht. Een term die vaak als synoniem van organische materie in de bodem wordt gebruikt. Humus is een kritiek bestanddeel van gezonde bodems, belangrijk voor de </w:t>
            </w:r>
            <w:r w:rsidRPr="007B0BF3">
              <w:rPr>
                <w:rFonts w:ascii="Times New Roman" w:hAnsi="Times New Roman" w:cs="Times New Roman"/>
                <w:lang w:val="nl"/>
              </w:rPr>
              <w:lastRenderedPageBreak/>
              <w:t>bodemvruchtbaarheid, en helpt bodemdeeltjes en aggregaten aan elkaar te binden.</w:t>
            </w:r>
          </w:p>
        </w:tc>
        <w:tc>
          <w:tcPr>
            <w:tcW w:w="616" w:type="dxa"/>
          </w:tcPr>
          <w:p w14:paraId="59D98280"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3</w:t>
            </w:r>
          </w:p>
        </w:tc>
      </w:tr>
      <w:tr w:rsidR="006E7F98" w:rsidRPr="007B0BF3" w14:paraId="7723C200" w14:textId="77777777" w:rsidTr="2C6C7817">
        <w:tc>
          <w:tcPr>
            <w:tcW w:w="2062" w:type="dxa"/>
          </w:tcPr>
          <w:p w14:paraId="560CB102"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Immobilisatie</w:t>
            </w:r>
          </w:p>
        </w:tc>
        <w:tc>
          <w:tcPr>
            <w:tcW w:w="1469" w:type="dxa"/>
          </w:tcPr>
          <w:p w14:paraId="3FEF8493" w14:textId="77777777" w:rsidR="006E7F98" w:rsidRPr="007B0BF3" w:rsidRDefault="006E7F98" w:rsidP="00525540">
            <w:pPr>
              <w:jc w:val="both"/>
              <w:rPr>
                <w:rFonts w:ascii="Times New Roman" w:hAnsi="Times New Roman" w:cs="Times New Roman"/>
                <w:lang w:val="en-GB"/>
              </w:rPr>
            </w:pPr>
          </w:p>
        </w:tc>
        <w:tc>
          <w:tcPr>
            <w:tcW w:w="5615" w:type="dxa"/>
          </w:tcPr>
          <w:p w14:paraId="62BDD5F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Omzetting van wateroplosbare elementen in organische verbindingen door bodembiota.</w:t>
            </w:r>
          </w:p>
          <w:p w14:paraId="27C73BE7"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Proces waarbij voedingsstoffen (stikstof, fosfor en andere essentiële elementen) door bodemmicro-organismen tijdelijk worden omgezet van een beschikbare, wateroplosbare anorganische vorm naar een niet-beschikbare, organische vorm. Dit vindt plaats wanneer micro-organismen deze voedingsstoffen in hun cellen en weefsels opnemen tijdens de ontleding van organische materie, waardoor die tijdelijk ontoegankelijk zijn voor planten.</w:t>
            </w:r>
          </w:p>
          <w:p w14:paraId="2151E376"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In verontreinigde bodems kan immobilisatie ook betekenen dat sommige mogelijk giftige elementen onoplosbaar worden. Dit is een positief verschijnsel omdat hiermee het risico op verspreiding van verontreinigingen in het milieu en de mogelijke opname ervan door planten wordt verlaagd.</w:t>
            </w:r>
          </w:p>
        </w:tc>
        <w:tc>
          <w:tcPr>
            <w:tcW w:w="616" w:type="dxa"/>
          </w:tcPr>
          <w:p w14:paraId="5D8FF7D6"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 45</w:t>
            </w:r>
          </w:p>
        </w:tc>
      </w:tr>
      <w:tr w:rsidR="006E7F98" w:rsidRPr="007B0BF3" w14:paraId="682C40B4" w14:textId="77777777" w:rsidTr="2C6C7817">
        <w:tc>
          <w:tcPr>
            <w:tcW w:w="2062" w:type="dxa"/>
          </w:tcPr>
          <w:p w14:paraId="31D68478"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Infiltratie</w:t>
            </w:r>
          </w:p>
        </w:tc>
        <w:tc>
          <w:tcPr>
            <w:tcW w:w="1469" w:type="dxa"/>
          </w:tcPr>
          <w:p w14:paraId="0DA4BCD9" w14:textId="77777777" w:rsidR="006E7F98" w:rsidRPr="007B0BF3" w:rsidRDefault="006E7F98" w:rsidP="00525540">
            <w:pPr>
              <w:jc w:val="both"/>
              <w:rPr>
                <w:rFonts w:ascii="Times New Roman" w:hAnsi="Times New Roman" w:cs="Times New Roman"/>
                <w:lang w:val="en-GB"/>
              </w:rPr>
            </w:pPr>
          </w:p>
        </w:tc>
        <w:tc>
          <w:tcPr>
            <w:tcW w:w="5615" w:type="dxa"/>
          </w:tcPr>
          <w:p w14:paraId="03ED8EBA"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beweging van water door het bodemoppervlak heen, de bodem in (in tegenstelling tot percolatie: de beweging van water door het bodemprofiel [horizonten] omlaag naar de aquifers).</w:t>
            </w:r>
          </w:p>
        </w:tc>
        <w:tc>
          <w:tcPr>
            <w:tcW w:w="616" w:type="dxa"/>
          </w:tcPr>
          <w:p w14:paraId="4B892A65"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08434D34" w14:textId="77777777" w:rsidTr="2C6C7817">
        <w:tc>
          <w:tcPr>
            <w:tcW w:w="2062" w:type="dxa"/>
          </w:tcPr>
          <w:p w14:paraId="04BB1555"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Intensivering</w:t>
            </w:r>
          </w:p>
        </w:tc>
        <w:tc>
          <w:tcPr>
            <w:tcW w:w="1469" w:type="dxa"/>
          </w:tcPr>
          <w:p w14:paraId="182E0C7D" w14:textId="77777777" w:rsidR="006E7F98" w:rsidRPr="007B0BF3" w:rsidRDefault="006E7F98" w:rsidP="00525540">
            <w:pPr>
              <w:jc w:val="both"/>
              <w:rPr>
                <w:rFonts w:ascii="Times New Roman" w:hAnsi="Times New Roman" w:cs="Times New Roman"/>
                <w:lang w:val="en-GB"/>
              </w:rPr>
            </w:pPr>
          </w:p>
        </w:tc>
        <w:tc>
          <w:tcPr>
            <w:tcW w:w="5615" w:type="dxa"/>
          </w:tcPr>
          <w:p w14:paraId="39A1CA23"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lang w:val="nl"/>
              </w:rPr>
              <w:t>Het proces van het verhogen van het gebruik van input (arbeid, informatie, energie, meststoffen, pesticiden, machinerie) ten opzichte van landoppervlakte, om de landbouwproductie per oppervlakte-eenheid te verhogen. Intensivering kan de druk op het milieu verhogen, als ze bestaat uit een lukrake toename in het gebruik van input zonder bijbehorende toename in beheersinput. Een toegenomen gebruik van meststoffen en pesticiden kan bijvoorbeeld het risico van afvloeiing van voedingsstoffen en pesticiden in oppervlakte- en grondwater verhogen (‘verlies per oppervlakte-eenheid’). Het eigenlijke effect van het gebruik van input op het milieu hangt echter niet alleen af van de gebruikte hoeveelheid input, maar ook van hoe die wordt toegepast en de mate waarin die bijdraagt aan productietoename (‘verlies per eenheid product’). Daarom leidt intensivering niet noodzakelijkerwijs tot milieu-aantasting.</w:t>
            </w:r>
          </w:p>
        </w:tc>
        <w:tc>
          <w:tcPr>
            <w:tcW w:w="616" w:type="dxa"/>
          </w:tcPr>
          <w:p w14:paraId="0ED4796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5FB51DCB" w14:textId="77777777" w:rsidTr="2C6C7817">
        <w:tc>
          <w:tcPr>
            <w:tcW w:w="2062" w:type="dxa"/>
          </w:tcPr>
          <w:p w14:paraId="18F5680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Kationenuitwisselingscapaciteit</w:t>
            </w:r>
          </w:p>
        </w:tc>
        <w:tc>
          <w:tcPr>
            <w:tcW w:w="1469" w:type="dxa"/>
          </w:tcPr>
          <w:p w14:paraId="19A3DD56" w14:textId="77777777" w:rsidR="006E7F98" w:rsidRPr="007B0BF3" w:rsidRDefault="006E7F98" w:rsidP="002A67F8">
            <w:pPr>
              <w:jc w:val="both"/>
              <w:rPr>
                <w:rFonts w:ascii="Times New Roman" w:hAnsi="Times New Roman" w:cs="Times New Roman"/>
                <w:lang w:val="en-GB"/>
              </w:rPr>
            </w:pPr>
          </w:p>
        </w:tc>
        <w:tc>
          <w:tcPr>
            <w:tcW w:w="5615" w:type="dxa"/>
          </w:tcPr>
          <w:p w14:paraId="3E6EE018" w14:textId="77777777" w:rsidR="006E7F98" w:rsidRPr="007B0BF3" w:rsidRDefault="006E7F98" w:rsidP="002A67F8">
            <w:pPr>
              <w:jc w:val="both"/>
              <w:rPr>
                <w:rFonts w:ascii="Times New Roman" w:hAnsi="Times New Roman" w:cs="Times New Roman"/>
                <w:lang w:val="en-GB"/>
              </w:rPr>
            </w:pPr>
            <w:r w:rsidRPr="007B0BF3">
              <w:rPr>
                <w:rFonts w:ascii="Times New Roman" w:hAnsi="Times New Roman" w:cs="Times New Roman"/>
                <w:lang w:val="nl"/>
              </w:rPr>
              <w:t>De capaciteit van bodem om voedingsstoffen vast te houden voor gebruik door planten. Meer bepaald is de kationenuitwisselingscapaciteit (CEC) de hoeveelheid negatieve lading die op kleimineralen en bodemhumus beschikbaar is om positief geladen ionen vast te houden. De effectieve kationenuitwisselingscapaciteit (ECEC) wordt gerapporteerd voor zure bodems (pH&lt;5). Uitgedrukt als centimolen lading per kilogram bodem (cmolc/kg).</w:t>
            </w:r>
          </w:p>
        </w:tc>
        <w:tc>
          <w:tcPr>
            <w:tcW w:w="616" w:type="dxa"/>
          </w:tcPr>
          <w:p w14:paraId="3E97C6D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47513422" w14:textId="77777777" w:rsidTr="2C6C7817">
        <w:tc>
          <w:tcPr>
            <w:tcW w:w="2062" w:type="dxa"/>
          </w:tcPr>
          <w:p w14:paraId="4244EB35"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Kennis- en onderwijsactoren</w:t>
            </w:r>
          </w:p>
        </w:tc>
        <w:tc>
          <w:tcPr>
            <w:tcW w:w="1469" w:type="dxa"/>
          </w:tcPr>
          <w:p w14:paraId="690030C2" w14:textId="77777777" w:rsidR="006E7F98" w:rsidRPr="007B0BF3" w:rsidRDefault="006E7F98" w:rsidP="00525540">
            <w:pPr>
              <w:jc w:val="both"/>
              <w:rPr>
                <w:rFonts w:ascii="Times New Roman" w:hAnsi="Times New Roman" w:cs="Times New Roman"/>
                <w:lang w:val="en-GB"/>
              </w:rPr>
            </w:pPr>
          </w:p>
        </w:tc>
        <w:tc>
          <w:tcPr>
            <w:tcW w:w="5615" w:type="dxa"/>
          </w:tcPr>
          <w:p w14:paraId="475B80E1"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Deze groep bestaat uit academies en onderzoeksinstellingen met een focus op bodem-, landbouw-, bosbouw- of milieustudies, waarvan het doel is om nieuwe kennis en inzicht op het gebied van bodembeheerkwesties te genereren, waaronder bodemgezondheid, duurzaam landgebruik en beschermingspraktijken, door middel van onderzoek, onderwijs en voorlichting.</w:t>
            </w:r>
          </w:p>
          <w:p w14:paraId="1C6C21F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Voorbeelden: wetenschappers, academici, onderzoekers en studenten van universiteiten, onderzoeksinstellingen, </w:t>
            </w:r>
            <w:r w:rsidRPr="007B0BF3">
              <w:rPr>
                <w:rFonts w:ascii="Times New Roman" w:hAnsi="Times New Roman" w:cs="Times New Roman"/>
                <w:lang w:val="nl"/>
              </w:rPr>
              <w:lastRenderedPageBreak/>
              <w:t>aanbieders van voortgezet onderwijs, maatschappelijke organisaties enz.</w:t>
            </w:r>
          </w:p>
        </w:tc>
        <w:tc>
          <w:tcPr>
            <w:tcW w:w="616" w:type="dxa"/>
          </w:tcPr>
          <w:p w14:paraId="7B60B01D"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2</w:t>
            </w:r>
          </w:p>
        </w:tc>
      </w:tr>
      <w:tr w:rsidR="006E7F98" w:rsidRPr="007B0BF3" w14:paraId="3CA338B5" w14:textId="77777777" w:rsidTr="2C6C7817">
        <w:tc>
          <w:tcPr>
            <w:tcW w:w="2062" w:type="dxa"/>
          </w:tcPr>
          <w:p w14:paraId="1149CFE6"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Koolstofcyclus</w:t>
            </w:r>
          </w:p>
        </w:tc>
        <w:tc>
          <w:tcPr>
            <w:tcW w:w="1469" w:type="dxa"/>
          </w:tcPr>
          <w:p w14:paraId="57B97256" w14:textId="77777777" w:rsidR="006E7F98" w:rsidRPr="007B0BF3" w:rsidRDefault="006E7F98" w:rsidP="002A67F8">
            <w:pPr>
              <w:jc w:val="both"/>
              <w:rPr>
                <w:rFonts w:ascii="Times New Roman" w:hAnsi="Times New Roman" w:cs="Times New Roman"/>
                <w:lang w:val="en-GB"/>
              </w:rPr>
            </w:pPr>
          </w:p>
        </w:tc>
        <w:tc>
          <w:tcPr>
            <w:tcW w:w="5615" w:type="dxa"/>
          </w:tcPr>
          <w:p w14:paraId="00642789"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Opeenvolging van biotransformaties waardoor koolstofdioxide wordt omgezet in organische vormen door fotosynthese of chemosynthese, gerecirculeerd via de biosfeer (met gedeeltelijke opname in sedimenten) en uiteindelijk teruggevoerd naar zijn oorspronkelijke toestand door ademhaling of verbranding.</w:t>
            </w:r>
          </w:p>
        </w:tc>
        <w:tc>
          <w:tcPr>
            <w:tcW w:w="616" w:type="dxa"/>
          </w:tcPr>
          <w:p w14:paraId="1D4D6187"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6CB67183" w14:textId="77777777" w:rsidTr="2C6C7817">
        <w:tc>
          <w:tcPr>
            <w:tcW w:w="2062" w:type="dxa"/>
          </w:tcPr>
          <w:p w14:paraId="5CC3569D"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Landbouw</w:t>
            </w:r>
          </w:p>
        </w:tc>
        <w:tc>
          <w:tcPr>
            <w:tcW w:w="1469" w:type="dxa"/>
          </w:tcPr>
          <w:p w14:paraId="4CDE9D3A" w14:textId="77777777" w:rsidR="006E7F98" w:rsidRPr="007B0BF3" w:rsidRDefault="006E7F98" w:rsidP="002A67F8">
            <w:pPr>
              <w:jc w:val="both"/>
              <w:rPr>
                <w:rFonts w:ascii="Times New Roman" w:hAnsi="Times New Roman" w:cs="Times New Roman"/>
                <w:lang w:val="en-GB"/>
              </w:rPr>
            </w:pPr>
          </w:p>
        </w:tc>
        <w:tc>
          <w:tcPr>
            <w:tcW w:w="5615" w:type="dxa"/>
          </w:tcPr>
          <w:p w14:paraId="13428BE5"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color w:val="404040" w:themeColor="text1" w:themeTint="BF"/>
                <w:lang w:val="nl"/>
              </w:rPr>
              <w:t>Landbouw verwijst naar de wetenschap, het ambacht en de praktijk van het telen van planten en fokken van dieren voor voedsel, vezels, geneeskrachtige planten en anderen producten die worden gebruikt om het menselijk leven te onderhouden en verbeteren. Dit omvat een breed scala aan activiteiten, waaronder bodemvoorbereiding, beplanting, irrigatie, plaagbestrijding, oogst en veebeheer. Landbouw is een fundamenteel onderdeel van de menselijke beschaving, is de primaire voedselbron en levert grondstoffen voor industrieën. Ook speelt landbouw een kritieke rol in economische ontwikkeling, milieubeheer en culturele praktijken.</w:t>
            </w:r>
          </w:p>
        </w:tc>
        <w:tc>
          <w:tcPr>
            <w:tcW w:w="616" w:type="dxa"/>
          </w:tcPr>
          <w:p w14:paraId="7AFD9127"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38</w:t>
            </w:r>
          </w:p>
        </w:tc>
      </w:tr>
      <w:tr w:rsidR="006E7F98" w:rsidRPr="007B0BF3" w14:paraId="708BEEAF" w14:textId="77777777" w:rsidTr="2C6C7817">
        <w:tc>
          <w:tcPr>
            <w:tcW w:w="2062" w:type="dxa"/>
          </w:tcPr>
          <w:p w14:paraId="2E2DA19B"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Landgezondheid</w:t>
            </w:r>
          </w:p>
        </w:tc>
        <w:tc>
          <w:tcPr>
            <w:tcW w:w="1469" w:type="dxa"/>
          </w:tcPr>
          <w:p w14:paraId="279D8A42" w14:textId="77777777" w:rsidR="006E7F98" w:rsidRPr="007B0BF3" w:rsidRDefault="006E7F98" w:rsidP="00525540">
            <w:pPr>
              <w:jc w:val="both"/>
              <w:rPr>
                <w:rFonts w:ascii="Times New Roman" w:hAnsi="Times New Roman" w:cs="Times New Roman"/>
                <w:lang w:val="en-GB"/>
              </w:rPr>
            </w:pPr>
          </w:p>
        </w:tc>
        <w:tc>
          <w:tcPr>
            <w:tcW w:w="5615" w:type="dxa"/>
          </w:tcPr>
          <w:p w14:paraId="61CDBC5F"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capaciteit van land om ten opzichte van het potentieel de levering van ecosysteemdiensten aan te houden.</w:t>
            </w:r>
          </w:p>
        </w:tc>
        <w:tc>
          <w:tcPr>
            <w:tcW w:w="616" w:type="dxa"/>
          </w:tcPr>
          <w:p w14:paraId="2CC083C5"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1CBAD821" w14:textId="77777777" w:rsidTr="2C6C7817">
        <w:tc>
          <w:tcPr>
            <w:tcW w:w="2062" w:type="dxa"/>
          </w:tcPr>
          <w:p w14:paraId="4350B2C6"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Landroof</w:t>
            </w:r>
          </w:p>
        </w:tc>
        <w:tc>
          <w:tcPr>
            <w:tcW w:w="1469" w:type="dxa"/>
          </w:tcPr>
          <w:p w14:paraId="09E731DF" w14:textId="77777777" w:rsidR="006E7F98" w:rsidRPr="007B0BF3" w:rsidRDefault="006E7F98" w:rsidP="00A655ED">
            <w:pPr>
              <w:jc w:val="both"/>
              <w:rPr>
                <w:rFonts w:ascii="Times New Roman" w:hAnsi="Times New Roman" w:cs="Times New Roman"/>
                <w:lang w:val="en-GB"/>
              </w:rPr>
            </w:pPr>
          </w:p>
        </w:tc>
        <w:tc>
          <w:tcPr>
            <w:tcW w:w="5615" w:type="dxa"/>
          </w:tcPr>
          <w:p w14:paraId="0570E69F"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Landroof is de controle – via eigenaarschap, pacht, concessie, contracten, quota of algemene bevoegdheid – van grotere hoeveelheden land dan lokaal gebruikelijk is door personen of entiteiten – publiek of privaat, buiten- of binnenlands – via welke middelen dan ook – ‘legaal’ of ‘illegaal’ – ten behoeve van speculatie, winning, controle over hulpbronnen of commodificatie ten koste van lokale boeren, agro-ecologie, landbeheer, voedselsoevereiniteit en mensenrechten.</w:t>
            </w:r>
          </w:p>
        </w:tc>
        <w:tc>
          <w:tcPr>
            <w:tcW w:w="616" w:type="dxa"/>
          </w:tcPr>
          <w:p w14:paraId="574C147D"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11</w:t>
            </w:r>
          </w:p>
        </w:tc>
      </w:tr>
      <w:tr w:rsidR="006E7F98" w:rsidRPr="007B0BF3" w14:paraId="168F414E" w14:textId="77777777" w:rsidTr="2C6C7817">
        <w:tc>
          <w:tcPr>
            <w:tcW w:w="2062" w:type="dxa"/>
          </w:tcPr>
          <w:p w14:paraId="47021FDD"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Levend systeem</w:t>
            </w:r>
          </w:p>
        </w:tc>
        <w:tc>
          <w:tcPr>
            <w:tcW w:w="1469" w:type="dxa"/>
          </w:tcPr>
          <w:p w14:paraId="378D2BC4" w14:textId="77777777" w:rsidR="006E7F98" w:rsidRPr="007B0BF3" w:rsidRDefault="006E7F98" w:rsidP="00A655ED">
            <w:pPr>
              <w:jc w:val="both"/>
              <w:rPr>
                <w:rFonts w:ascii="Times New Roman" w:hAnsi="Times New Roman" w:cs="Times New Roman"/>
                <w:lang w:val="en-GB"/>
              </w:rPr>
            </w:pPr>
          </w:p>
        </w:tc>
        <w:tc>
          <w:tcPr>
            <w:tcW w:w="5615" w:type="dxa"/>
          </w:tcPr>
          <w:p w14:paraId="3DD4C6CF"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 de context van milieuwetenschap verwijst dit naar elke biologische entiteit of gemeenschap die interactie met haar omgeving aangaat en de kenmerken van leven vertoont. Dit omvat niet alleen individuele organismen, maar ook populaties, gemeenschappen, ecosystemen en de biosfeer als geheel. Voorbeelden van levende systemen zijn ecosystemen, microbengemeenschappen of voedselwebben.</w:t>
            </w:r>
          </w:p>
          <w:p w14:paraId="26DBCD6A"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Inzicht in levende systemen is essentieel om duurzame milieupraktijken en -beleidsmaatregelen te ontwikkelen die gericht zijn op het behoud van biodiversiteit en ecosysteemgezondheid.</w:t>
            </w:r>
          </w:p>
          <w:p w14:paraId="596429A8" w14:textId="77777777" w:rsidR="006E7F98" w:rsidRPr="007B0BF3" w:rsidRDefault="006E7F98" w:rsidP="00A655ED">
            <w:pPr>
              <w:jc w:val="both"/>
              <w:rPr>
                <w:rFonts w:ascii="Times New Roman" w:hAnsi="Times New Roman" w:cs="Times New Roman"/>
                <w:lang w:val="nl-NL"/>
              </w:rPr>
            </w:pPr>
          </w:p>
          <w:p w14:paraId="729EFD2D"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 xml:space="preserve">Kenmerken van levende systemen: </w:t>
            </w:r>
          </w:p>
          <w:p w14:paraId="58639DCF"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Onderlinge verbondenheid</w:t>
            </w:r>
            <w:r w:rsidRPr="007B0BF3">
              <w:rPr>
                <w:rFonts w:ascii="Times New Roman" w:hAnsi="Times New Roman" w:cs="Times New Roman"/>
                <w:lang w:val="nl"/>
              </w:rPr>
              <w:t>: Levende systemen worden gekenmerkt door complexe interacties tussen diverse onderdelen, waaronder organismen (planten, dieren, micro-organismen) en hun fysieke omgeving (bodem, water, lucht). Deze interacties kunnen van invloed zijn op de voedingsstoffenkringloop, energiestroming en algehele ecosysteemgezondheid.</w:t>
            </w:r>
          </w:p>
          <w:p w14:paraId="00A9EEC9"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Aanpassing en evolutie</w:t>
            </w:r>
            <w:r w:rsidRPr="007B0BF3">
              <w:rPr>
                <w:rFonts w:ascii="Times New Roman" w:hAnsi="Times New Roman" w:cs="Times New Roman"/>
                <w:lang w:val="nl"/>
              </w:rPr>
              <w:t>: Levende systemen passen zich via evolutieprocessen in de tijd aan omgevingsveranderingen aan. Deze aanpasbaarheid is cruciaal om te overleven in veranderende klimaten en ecosystemen.</w:t>
            </w:r>
          </w:p>
          <w:p w14:paraId="123A4DAB"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lastRenderedPageBreak/>
              <w:t>Duurzaamheid</w:t>
            </w:r>
            <w:r w:rsidRPr="007B0BF3">
              <w:rPr>
                <w:rFonts w:ascii="Times New Roman" w:hAnsi="Times New Roman" w:cs="Times New Roman"/>
                <w:lang w:val="nl"/>
              </w:rPr>
              <w:t>: In de milieuwetenschap benadrukken levende systemen duurzaamheid – het vermogen om op lange termijn ecologisch evenwicht te bewaren en leven te ondersteunen. Dit omvat praktijken die biodiversiteit en veerkracht tegen milieustressfactoren bevorderen.</w:t>
            </w:r>
          </w:p>
          <w:p w14:paraId="61C258E2"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Ecosysteemdiensten</w:t>
            </w:r>
            <w:r w:rsidRPr="007B0BF3">
              <w:rPr>
                <w:rFonts w:ascii="Times New Roman" w:hAnsi="Times New Roman" w:cs="Times New Roman"/>
                <w:lang w:val="nl"/>
              </w:rPr>
              <w:t>: Levende systemen leveren essentiële diensten zoals bestuiving, waterzuivering, koolstofvastlegging en bodemvruchtbaarheid. Inzicht in deze diensten is onmisbaar om de natuurlijke hulpbronnen te beheren en milieu-uitdagingen aan te pakken.</w:t>
            </w:r>
          </w:p>
          <w:p w14:paraId="77D8D18B"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Menselijke impact</w:t>
            </w:r>
            <w:r w:rsidRPr="007B0BF3">
              <w:rPr>
                <w:rFonts w:ascii="Times New Roman" w:hAnsi="Times New Roman" w:cs="Times New Roman"/>
                <w:lang w:val="nl"/>
              </w:rPr>
              <w:t>: Menselijke activiteiten hebben een aanzienlijke invloed op levende systemen door vervuiling, vernietiging van leefgebieden, klimaatverandering en exploitatie van hulpbronnen. De milieuwetenschap stelt zich ten doel om deze impact te begrijpen en strategieën te ontwikkelen voor beperking en herstel.</w:t>
            </w:r>
          </w:p>
          <w:p w14:paraId="53EBB82E" w14:textId="77777777" w:rsidR="006E7F98" w:rsidRPr="007B0BF3" w:rsidRDefault="006E7F98" w:rsidP="00A655ED">
            <w:pPr>
              <w:jc w:val="both"/>
              <w:rPr>
                <w:rFonts w:ascii="Times New Roman" w:hAnsi="Times New Roman" w:cs="Times New Roman"/>
                <w:lang w:val="nl-NL"/>
              </w:rPr>
            </w:pPr>
          </w:p>
        </w:tc>
        <w:tc>
          <w:tcPr>
            <w:tcW w:w="616" w:type="dxa"/>
          </w:tcPr>
          <w:p w14:paraId="1505B220"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19, 20</w:t>
            </w:r>
          </w:p>
        </w:tc>
      </w:tr>
      <w:tr w:rsidR="006E7F98" w:rsidRPr="007B0BF3" w14:paraId="44C684DB" w14:textId="77777777" w:rsidTr="2C6C7817">
        <w:tc>
          <w:tcPr>
            <w:tcW w:w="2062" w:type="dxa"/>
          </w:tcPr>
          <w:p w14:paraId="10C91259"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Mest</w:t>
            </w:r>
          </w:p>
        </w:tc>
        <w:tc>
          <w:tcPr>
            <w:tcW w:w="1469" w:type="dxa"/>
          </w:tcPr>
          <w:p w14:paraId="0CD19EFA" w14:textId="77777777" w:rsidR="006E7F98" w:rsidRPr="007B0BF3" w:rsidRDefault="006E7F98" w:rsidP="00525540">
            <w:pPr>
              <w:jc w:val="both"/>
              <w:rPr>
                <w:rFonts w:ascii="Times New Roman" w:hAnsi="Times New Roman" w:cs="Times New Roman"/>
                <w:lang w:val="en-GB"/>
              </w:rPr>
            </w:pPr>
          </w:p>
        </w:tc>
        <w:tc>
          <w:tcPr>
            <w:tcW w:w="5615" w:type="dxa"/>
          </w:tcPr>
          <w:p w14:paraId="60CC8A9A"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Mest is een type meststof die bestaat uit de ontlasting van vee op zichzelf of gemengd met strooisel.</w:t>
            </w:r>
          </w:p>
        </w:tc>
        <w:tc>
          <w:tcPr>
            <w:tcW w:w="616" w:type="dxa"/>
          </w:tcPr>
          <w:p w14:paraId="21EE0F1D"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0B496B97" w14:textId="77777777" w:rsidTr="2C6C7817">
        <w:tc>
          <w:tcPr>
            <w:tcW w:w="2062" w:type="dxa"/>
          </w:tcPr>
          <w:p w14:paraId="0EE39DAD"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Meststofvervangingswaarde</w:t>
            </w:r>
          </w:p>
        </w:tc>
        <w:tc>
          <w:tcPr>
            <w:tcW w:w="1469" w:type="dxa"/>
          </w:tcPr>
          <w:p w14:paraId="4D24C0B3" w14:textId="77777777" w:rsidR="006E7F98" w:rsidRPr="007B0BF3" w:rsidRDefault="006E7F98" w:rsidP="00525540">
            <w:pPr>
              <w:jc w:val="both"/>
              <w:rPr>
                <w:rFonts w:ascii="Times New Roman" w:hAnsi="Times New Roman" w:cs="Times New Roman"/>
                <w:lang w:val="en-GB"/>
              </w:rPr>
            </w:pPr>
          </w:p>
        </w:tc>
        <w:tc>
          <w:tcPr>
            <w:tcW w:w="5615" w:type="dxa"/>
          </w:tcPr>
          <w:p w14:paraId="16017E7A"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Uitgedrukt in kg/100 kg, een kwantitatieve maat voor de hoeveelheid voedingsstoffen (bijv. stikstof, fosfor, kalium) geleverd door 100 kilogram van een organische voedingsstoffenbron (zoals mest, compost of gewasresten) die gelijkwaardig is aan de hoeveelheid voedingsstoffen die door minerale meststoffen wordt geleverd.</w:t>
            </w:r>
            <w:r w:rsidRPr="007B0BF3">
              <w:rPr>
                <w:lang w:val="nl"/>
              </w:rPr>
              <w:t xml:space="preserve"> Bijvoorbeeld, </w:t>
            </w:r>
            <w:r w:rsidRPr="007B0BF3">
              <w:rPr>
                <w:rFonts w:ascii="Times New Roman" w:hAnsi="Times New Roman" w:cs="Times New Roman"/>
                <w:lang w:val="nl"/>
              </w:rPr>
              <w:t>als 100 kg mest een meststofvervangingswaarde van 3 kg voor fosfor (P) heeft, levert die dezelfde hoeveelheid beschikbare P als 3 kg minerale fosformeststof.</w:t>
            </w:r>
          </w:p>
          <w:p w14:paraId="525DD3EE"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Deze meeteenheid helpt boeren de voedingsstoffenbijdrage van organische materialen te vergelijken met synthetische meststoffen en geïnformeerde beslissingen te nemen over voedingsstoffenbeheer. </w:t>
            </w:r>
          </w:p>
        </w:tc>
        <w:tc>
          <w:tcPr>
            <w:tcW w:w="616" w:type="dxa"/>
          </w:tcPr>
          <w:p w14:paraId="7498217B"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4, 42</w:t>
            </w:r>
          </w:p>
        </w:tc>
      </w:tr>
      <w:tr w:rsidR="006E7F98" w:rsidRPr="007B0BF3" w14:paraId="3AA943B4" w14:textId="77777777" w:rsidTr="2C6C7817">
        <w:tc>
          <w:tcPr>
            <w:tcW w:w="2062" w:type="dxa"/>
          </w:tcPr>
          <w:p w14:paraId="1AB135BB"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Milieutracers</w:t>
            </w:r>
          </w:p>
        </w:tc>
        <w:tc>
          <w:tcPr>
            <w:tcW w:w="1469" w:type="dxa"/>
          </w:tcPr>
          <w:p w14:paraId="1B67116A" w14:textId="77777777" w:rsidR="006E7F98" w:rsidRPr="007B0BF3" w:rsidRDefault="006E7F98" w:rsidP="00A655ED">
            <w:pPr>
              <w:jc w:val="both"/>
              <w:rPr>
                <w:rFonts w:ascii="Times New Roman" w:hAnsi="Times New Roman" w:cs="Times New Roman"/>
                <w:lang w:val="en-GB"/>
              </w:rPr>
            </w:pPr>
          </w:p>
        </w:tc>
        <w:tc>
          <w:tcPr>
            <w:tcW w:w="5615" w:type="dxa"/>
          </w:tcPr>
          <w:p w14:paraId="5C13D81D"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Dit zijn stoffen die gebruikt worden om de beweging van water, verontreinigingen of andere stoffen in het milieu te traceren. Stabiele isotopen en edelgassen worden vaak als tracers gebruikt om processen als grondwaterstroming, transport van verontreinigingen en biogeochemische cycli te onderzoeken.</w:t>
            </w:r>
          </w:p>
          <w:p w14:paraId="0056AAC1" w14:textId="77777777" w:rsidR="006E7F98" w:rsidRPr="007B0BF3" w:rsidRDefault="006E7F98" w:rsidP="00A655ED">
            <w:pPr>
              <w:jc w:val="both"/>
              <w:rPr>
                <w:rFonts w:ascii="Times New Roman" w:hAnsi="Times New Roman" w:cs="Times New Roman"/>
                <w:lang w:val="nl-NL"/>
              </w:rPr>
            </w:pPr>
          </w:p>
        </w:tc>
        <w:tc>
          <w:tcPr>
            <w:tcW w:w="616" w:type="dxa"/>
          </w:tcPr>
          <w:p w14:paraId="17E155E7"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35</w:t>
            </w:r>
          </w:p>
        </w:tc>
      </w:tr>
      <w:tr w:rsidR="006E7F98" w:rsidRPr="007B0BF3" w14:paraId="7EBA8CF3" w14:textId="77777777" w:rsidTr="2C6C7817">
        <w:tc>
          <w:tcPr>
            <w:tcW w:w="2062" w:type="dxa"/>
          </w:tcPr>
          <w:p w14:paraId="0A972EDC"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Mineralisatie</w:t>
            </w:r>
          </w:p>
        </w:tc>
        <w:tc>
          <w:tcPr>
            <w:tcW w:w="1469" w:type="dxa"/>
          </w:tcPr>
          <w:p w14:paraId="64ED6B23" w14:textId="77777777" w:rsidR="006E7F98" w:rsidRPr="007B0BF3" w:rsidRDefault="006E7F98" w:rsidP="00525540">
            <w:pPr>
              <w:jc w:val="both"/>
              <w:rPr>
                <w:rFonts w:ascii="Times New Roman" w:hAnsi="Times New Roman" w:cs="Times New Roman"/>
                <w:lang w:val="en-GB"/>
              </w:rPr>
            </w:pPr>
          </w:p>
        </w:tc>
        <w:tc>
          <w:tcPr>
            <w:tcW w:w="5615" w:type="dxa"/>
          </w:tcPr>
          <w:p w14:paraId="033406EB"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afbraak van organisch gebonden elementen (N, P, S) door bodembiota tot voor planten beschikbare (anorganische) vormen.</w:t>
            </w:r>
          </w:p>
        </w:tc>
        <w:tc>
          <w:tcPr>
            <w:tcW w:w="616" w:type="dxa"/>
          </w:tcPr>
          <w:p w14:paraId="7DFA19BE"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43F540C2" w14:textId="77777777" w:rsidTr="2C6C7817">
        <w:tc>
          <w:tcPr>
            <w:tcW w:w="2062" w:type="dxa"/>
          </w:tcPr>
          <w:p w14:paraId="55BE5205"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Monitoring van bodemkwaliteit</w:t>
            </w:r>
          </w:p>
        </w:tc>
        <w:tc>
          <w:tcPr>
            <w:tcW w:w="1469" w:type="dxa"/>
          </w:tcPr>
          <w:p w14:paraId="015D5A85" w14:textId="77777777" w:rsidR="006E7F98" w:rsidRPr="007B0BF3" w:rsidRDefault="006E7F98" w:rsidP="00525540">
            <w:pPr>
              <w:jc w:val="both"/>
              <w:rPr>
                <w:rFonts w:ascii="Times New Roman" w:hAnsi="Times New Roman" w:cs="Times New Roman"/>
                <w:lang w:val="en-GB"/>
              </w:rPr>
            </w:pPr>
          </w:p>
        </w:tc>
        <w:tc>
          <w:tcPr>
            <w:tcW w:w="5615" w:type="dxa"/>
          </w:tcPr>
          <w:p w14:paraId="7566457A"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lang w:val="nl"/>
              </w:rPr>
              <w:t>Het bijhouden van trends in kwantitatieve indicatoren van de functionele capaciteit van de bodem om het succes van beheerpraktijken of de behoefte aan aanvullende beheerveranderingen vast te stellen. Monitoring omvat de ordelijke verzameling, analyse en interpretatie van gegevens van dezelfde locaties in de tijd. (Vergelijk met beoordeling.)</w:t>
            </w:r>
          </w:p>
        </w:tc>
        <w:tc>
          <w:tcPr>
            <w:tcW w:w="616" w:type="dxa"/>
          </w:tcPr>
          <w:p w14:paraId="6F845D1E"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538A079D" w14:textId="77777777" w:rsidTr="2C6C7817">
        <w:tc>
          <w:tcPr>
            <w:tcW w:w="2062" w:type="dxa"/>
          </w:tcPr>
          <w:p w14:paraId="32C22BDE"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Mulchen</w:t>
            </w:r>
          </w:p>
        </w:tc>
        <w:tc>
          <w:tcPr>
            <w:tcW w:w="1469" w:type="dxa"/>
          </w:tcPr>
          <w:p w14:paraId="5E19B1DF" w14:textId="77777777" w:rsidR="006E7F98" w:rsidRPr="007B0BF3" w:rsidRDefault="006E7F98" w:rsidP="00525540">
            <w:pPr>
              <w:jc w:val="both"/>
              <w:rPr>
                <w:rFonts w:ascii="Times New Roman" w:hAnsi="Times New Roman" w:cs="Times New Roman"/>
                <w:lang w:val="en-GB"/>
              </w:rPr>
            </w:pPr>
          </w:p>
        </w:tc>
        <w:tc>
          <w:tcPr>
            <w:tcW w:w="5615" w:type="dxa"/>
          </w:tcPr>
          <w:p w14:paraId="1AC9AA21"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Landbouwpraktijk waarbij het bodemoppervlak wordt afgedekt, meestal met organische materialen of plastic zeil, om de bodem en het water te behouden, onkruid te bestrijden, plaagdieren weg te houden en gunstige en stabiele omstandigheden voor plantengroei te behouden.</w:t>
            </w:r>
          </w:p>
        </w:tc>
        <w:tc>
          <w:tcPr>
            <w:tcW w:w="616" w:type="dxa"/>
          </w:tcPr>
          <w:p w14:paraId="45907FF7"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0598AF45" w14:textId="77777777" w:rsidTr="2C6C7817">
        <w:tc>
          <w:tcPr>
            <w:tcW w:w="2062" w:type="dxa"/>
          </w:tcPr>
          <w:p w14:paraId="7152E68D" w14:textId="77777777" w:rsidR="006E7F98" w:rsidRPr="007B0BF3" w:rsidRDefault="006E7F98" w:rsidP="2C6C7817">
            <w:pPr>
              <w:rPr>
                <w:rFonts w:ascii="Times New Roman" w:eastAsia="Times New Roman" w:hAnsi="Times New Roman" w:cs="Times New Roman"/>
                <w:b/>
                <w:bCs/>
                <w:color w:val="3A7C22" w:themeColor="accent6" w:themeShade="BF"/>
                <w:lang w:val="en-GB"/>
              </w:rPr>
            </w:pPr>
            <w:r w:rsidRPr="007B0BF3">
              <w:rPr>
                <w:rFonts w:ascii="Times New Roman" w:eastAsia="Times New Roman" w:hAnsi="Times New Roman" w:cs="Times New Roman"/>
                <w:b/>
                <w:bCs/>
                <w:color w:val="3A7C22" w:themeColor="accent6" w:themeShade="BF"/>
                <w:lang w:val="nl"/>
              </w:rPr>
              <w:t xml:space="preserve">Multisectorale benadering </w:t>
            </w:r>
          </w:p>
        </w:tc>
        <w:tc>
          <w:tcPr>
            <w:tcW w:w="1469" w:type="dxa"/>
          </w:tcPr>
          <w:p w14:paraId="1463AB3B" w14:textId="77777777" w:rsidR="006E7F98" w:rsidRPr="007B0BF3" w:rsidRDefault="006E7F98" w:rsidP="00A655ED">
            <w:pPr>
              <w:jc w:val="both"/>
              <w:rPr>
                <w:rFonts w:ascii="Times New Roman" w:hAnsi="Times New Roman" w:cs="Times New Roman"/>
                <w:lang w:val="en-GB"/>
              </w:rPr>
            </w:pPr>
          </w:p>
        </w:tc>
        <w:tc>
          <w:tcPr>
            <w:tcW w:w="5615" w:type="dxa"/>
          </w:tcPr>
          <w:p w14:paraId="4EACC196" w14:textId="77777777" w:rsidR="006E7F98" w:rsidRPr="007B0BF3" w:rsidRDefault="006E7F98" w:rsidP="00A655ED">
            <w:pPr>
              <w:jc w:val="both"/>
              <w:rPr>
                <w:rFonts w:ascii="Times New Roman" w:hAnsi="Times New Roman" w:cs="Times New Roman"/>
                <w:lang w:val="en-GB"/>
              </w:rPr>
            </w:pPr>
            <w:r w:rsidRPr="007B0BF3">
              <w:rPr>
                <w:rFonts w:ascii="Times New Roman" w:hAnsi="Times New Roman" w:cs="Times New Roman"/>
                <w:lang w:val="nl"/>
              </w:rPr>
              <w:t xml:space="preserve">De samenwerking tussen onderzoekers van verschillende disciplines om een specifieke kwestie aan te pakken, waarbij </w:t>
            </w:r>
            <w:r w:rsidRPr="007B0BF3">
              <w:rPr>
                <w:rFonts w:ascii="Times New Roman" w:hAnsi="Times New Roman" w:cs="Times New Roman"/>
                <w:lang w:val="nl"/>
              </w:rPr>
              <w:lastRenderedPageBreak/>
              <w:t>elke discipline haar unieke kennis en technieken bijdraagt, leidend tot een uitgebreider begrip van het probleem.</w:t>
            </w:r>
            <w:r w:rsidRPr="007B0BF3">
              <w:rPr>
                <w:lang w:val="nl"/>
              </w:rPr>
              <w:t xml:space="preserve"> </w:t>
            </w:r>
            <w:r w:rsidRPr="007B0BF3">
              <w:rPr>
                <w:rFonts w:ascii="Times New Roman" w:hAnsi="Times New Roman" w:cs="Times New Roman"/>
                <w:lang w:val="nl"/>
              </w:rPr>
              <w:t>Het integratieniveau is laag en disciplines werken parallel.</w:t>
            </w:r>
          </w:p>
        </w:tc>
        <w:tc>
          <w:tcPr>
            <w:tcW w:w="616" w:type="dxa"/>
          </w:tcPr>
          <w:p w14:paraId="548B7873"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32, 37</w:t>
            </w:r>
          </w:p>
        </w:tc>
      </w:tr>
      <w:tr w:rsidR="006E7F98" w:rsidRPr="007B0BF3" w14:paraId="03627839" w14:textId="77777777" w:rsidTr="2C6C7817">
        <w:tc>
          <w:tcPr>
            <w:tcW w:w="2062" w:type="dxa"/>
          </w:tcPr>
          <w:p w14:paraId="4D889539"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Mycorrhiza</w:t>
            </w:r>
          </w:p>
        </w:tc>
        <w:tc>
          <w:tcPr>
            <w:tcW w:w="1469" w:type="dxa"/>
          </w:tcPr>
          <w:p w14:paraId="0BD19D87" w14:textId="77777777" w:rsidR="006E7F98" w:rsidRPr="007B0BF3" w:rsidRDefault="006E7F98" w:rsidP="00525540">
            <w:pPr>
              <w:jc w:val="both"/>
              <w:rPr>
                <w:rFonts w:ascii="Times New Roman" w:hAnsi="Times New Roman" w:cs="Times New Roman"/>
                <w:lang w:val="en-GB"/>
              </w:rPr>
            </w:pPr>
          </w:p>
        </w:tc>
        <w:tc>
          <w:tcPr>
            <w:tcW w:w="5615" w:type="dxa"/>
          </w:tcPr>
          <w:p w14:paraId="0394F427"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Betekent letterlijk ‘schimmel-wortel’ en is een symbiotische (wederzijds gunstige) relatie tussen schimmels en plantenwortels. De schimmel levert water en voedingsstoffen aan de plantenwortels, en de plant levert koolhydraten. Plantenwortels kunnen meestal niet meer dan 1% van het bodemvolume beslaan, maar met associatie van mycorrhiza-schimmels (die zich hechten aan de celwanden van plantenwortels) kan ongeveer 20% van het bodemvolume worden beslagen. Meer dan 80% van de planten heeft een mycorrhiza-associatie, maar deze schimmelpopulaties worden verminderd door conventionele bewerking en toepassing van grote hoeveelheden stikstof- en fosformeststoffen.</w:t>
            </w:r>
          </w:p>
        </w:tc>
        <w:tc>
          <w:tcPr>
            <w:tcW w:w="616" w:type="dxa"/>
          </w:tcPr>
          <w:p w14:paraId="046720D0"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7</w:t>
            </w:r>
          </w:p>
        </w:tc>
      </w:tr>
      <w:tr w:rsidR="006E7F98" w:rsidRPr="007B0BF3" w14:paraId="57D8D46D" w14:textId="77777777" w:rsidTr="2C6C7817">
        <w:tc>
          <w:tcPr>
            <w:tcW w:w="2062" w:type="dxa"/>
          </w:tcPr>
          <w:p w14:paraId="73AAE01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Natuurlijk kapitaal</w:t>
            </w:r>
          </w:p>
        </w:tc>
        <w:tc>
          <w:tcPr>
            <w:tcW w:w="1469" w:type="dxa"/>
          </w:tcPr>
          <w:p w14:paraId="7D6309AC" w14:textId="77777777" w:rsidR="006E7F98" w:rsidRPr="007B0BF3" w:rsidRDefault="006E7F98" w:rsidP="00525540">
            <w:pPr>
              <w:jc w:val="both"/>
              <w:rPr>
                <w:rFonts w:ascii="Times New Roman" w:hAnsi="Times New Roman" w:cs="Times New Roman"/>
                <w:lang w:val="en-GB"/>
              </w:rPr>
            </w:pPr>
          </w:p>
        </w:tc>
        <w:tc>
          <w:tcPr>
            <w:tcW w:w="5615" w:type="dxa"/>
          </w:tcPr>
          <w:p w14:paraId="5B77047E"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Verwijst naar zowel de levende (bijv. visstanden, bossen) als niet-levende (bijv. mineralen, energiebronnen) aspecten van de natuur. Het is de inventaris van ecosystemen op aarde, waaronder lucht, water, biodiversiteit en geodiversiteit. Deze inventaris is de basis van onze economie en samenleving door zowel direct als indirect waarde te produceren voor mensen. Goederen en diensten die aan mensen worden geleverd door duurzaam beheerd natuurlijk kapitaal zijn onder meer een scala aan maatschappelijke voordelen en milieuvoordelen, zoals schone lucht en schoon water, beperking van en aanpassing aan klimaatverandering, voedsel, energie, plekken om te leven, materialen voor producten, recreatie en bescherming tegen gevaren.</w:t>
            </w:r>
          </w:p>
        </w:tc>
        <w:tc>
          <w:tcPr>
            <w:tcW w:w="616" w:type="dxa"/>
          </w:tcPr>
          <w:p w14:paraId="7FF43D1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1, 2</w:t>
            </w:r>
          </w:p>
        </w:tc>
      </w:tr>
      <w:tr w:rsidR="006E7F98" w:rsidRPr="007B0BF3" w14:paraId="7EFBA441" w14:textId="77777777" w:rsidTr="2C6C7817">
        <w:tc>
          <w:tcPr>
            <w:tcW w:w="2062" w:type="dxa"/>
          </w:tcPr>
          <w:p w14:paraId="345A4C9D" w14:textId="77777777" w:rsidR="006E7F98" w:rsidRPr="007B0BF3" w:rsidRDefault="006E7F98" w:rsidP="00A655ED">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Nieuwe communicatiemethoden</w:t>
            </w:r>
          </w:p>
          <w:p w14:paraId="0739F5E9" w14:textId="77777777" w:rsidR="006E7F98" w:rsidRPr="007B0BF3" w:rsidRDefault="006E7F98" w:rsidP="00A655ED">
            <w:pPr>
              <w:rPr>
                <w:rFonts w:ascii="Times New Roman" w:hAnsi="Times New Roman" w:cs="Times New Roman"/>
                <w:b/>
                <w:color w:val="D86DCB" w:themeColor="accent5" w:themeTint="99"/>
                <w:lang w:val="en-GB"/>
              </w:rPr>
            </w:pPr>
          </w:p>
        </w:tc>
        <w:tc>
          <w:tcPr>
            <w:tcW w:w="1469" w:type="dxa"/>
          </w:tcPr>
          <w:p w14:paraId="559B9B13" w14:textId="77777777" w:rsidR="006E7F98" w:rsidRPr="007B0BF3" w:rsidRDefault="006E7F98" w:rsidP="00A655ED">
            <w:pPr>
              <w:jc w:val="both"/>
              <w:rPr>
                <w:rFonts w:ascii="Times New Roman" w:hAnsi="Times New Roman" w:cs="Times New Roman"/>
                <w:lang w:val="en-GB"/>
              </w:rPr>
            </w:pPr>
          </w:p>
        </w:tc>
        <w:tc>
          <w:tcPr>
            <w:tcW w:w="5615" w:type="dxa"/>
          </w:tcPr>
          <w:p w14:paraId="4D9900EB"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Innovatieve strategieën en technologieën die de uitwisseling van informatie tussen individuen, organisaties en het publiek faciliteren. Deze methoden omvatten een scala aan digitale hulpmiddelen en platforms die de interactie, het engagement en de toegankelijkheid in diverse contexten versterken, met name in het onderwijs en de communicatie met het publiek.</w:t>
            </w:r>
          </w:p>
        </w:tc>
        <w:tc>
          <w:tcPr>
            <w:tcW w:w="616" w:type="dxa"/>
          </w:tcPr>
          <w:p w14:paraId="01C5091F"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24,25, 26, 27</w:t>
            </w:r>
          </w:p>
        </w:tc>
      </w:tr>
      <w:tr w:rsidR="006E7F98" w:rsidRPr="007B0BF3" w14:paraId="58AF936C" w14:textId="77777777" w:rsidTr="2C6C7817">
        <w:tc>
          <w:tcPr>
            <w:tcW w:w="2062" w:type="dxa"/>
          </w:tcPr>
          <w:p w14:paraId="16D94216" w14:textId="77777777" w:rsidR="006E7F98" w:rsidRPr="007B0BF3" w:rsidRDefault="006E7F98" w:rsidP="2C6C7817">
            <w:pPr>
              <w:rPr>
                <w:rFonts w:ascii="Times New Roman" w:hAnsi="Times New Roman" w:cs="Times New Roman"/>
                <w:b/>
                <w:bCs/>
                <w:color w:val="3A7C22" w:themeColor="accent6" w:themeShade="BF"/>
                <w:lang w:val="en-GB"/>
              </w:rPr>
            </w:pPr>
            <w:r w:rsidRPr="007B0BF3">
              <w:rPr>
                <w:rFonts w:ascii="Times New Roman" w:hAnsi="Times New Roman" w:cs="Times New Roman"/>
                <w:b/>
                <w:bCs/>
                <w:color w:val="3A7C22" w:themeColor="accent6" w:themeShade="BF"/>
                <w:lang w:val="nl"/>
              </w:rPr>
              <w:t>No-tillage (geen bewerking)</w:t>
            </w:r>
          </w:p>
        </w:tc>
        <w:tc>
          <w:tcPr>
            <w:tcW w:w="1469" w:type="dxa"/>
          </w:tcPr>
          <w:p w14:paraId="27C902C3" w14:textId="77777777" w:rsidR="006E7F98" w:rsidRPr="007B0BF3" w:rsidRDefault="006E7F98" w:rsidP="00525540">
            <w:pPr>
              <w:jc w:val="both"/>
              <w:rPr>
                <w:rFonts w:ascii="Times New Roman" w:hAnsi="Times New Roman" w:cs="Times New Roman"/>
                <w:lang w:val="en-GB"/>
              </w:rPr>
            </w:pPr>
          </w:p>
        </w:tc>
        <w:tc>
          <w:tcPr>
            <w:tcW w:w="5615" w:type="dxa"/>
          </w:tcPr>
          <w:p w14:paraId="657BB23A"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belangrijkste agronomische praktijk bij conserveringslandbouw voor eenjarige teelt. Gedefinieerd als een landbouwmethode waarbij verstoring van de bodem door bewerking wordt vermeden. Bij ‘no-tillage’ dient ten minste 30% van de oppervlakte onmiddellijk na de beginontwikkeling van het gewas met plantenresten te worden bedekt. Gewassen worden gezaaid met machines die zaden door de plantenresten van eerdere oogsten heen kunnen plaatsen.</w:t>
            </w:r>
          </w:p>
          <w:p w14:paraId="55714E89"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No-tillage is de primaire agronomische praktijk die conserveringslandbouw voor eenjarige teelt kenmerkt en biedt het hoogste niveau van bodembescherming. Dit is omdat mechanische bewerking van de bodem wordt uitgesloten. Daarnaast helpt no-tillage in droge klimaten om water in de bodem vast te houden door verdampingsverlies vanaf het bodemoppervlak te verminderen, wat typisch toeneemt bij conventionele bewerking met bodemomkering.</w:t>
            </w:r>
          </w:p>
        </w:tc>
        <w:tc>
          <w:tcPr>
            <w:tcW w:w="616" w:type="dxa"/>
          </w:tcPr>
          <w:p w14:paraId="76DEB415"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5E9F4697" w14:textId="77777777" w:rsidTr="2C6C7817">
        <w:tc>
          <w:tcPr>
            <w:tcW w:w="2062" w:type="dxa"/>
          </w:tcPr>
          <w:p w14:paraId="62B77192"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Organische meststof</w:t>
            </w:r>
          </w:p>
        </w:tc>
        <w:tc>
          <w:tcPr>
            <w:tcW w:w="1469" w:type="dxa"/>
          </w:tcPr>
          <w:p w14:paraId="328CD7FD" w14:textId="77777777" w:rsidR="006E7F98" w:rsidRPr="007B0BF3" w:rsidRDefault="006E7F98" w:rsidP="00525540">
            <w:pPr>
              <w:jc w:val="both"/>
              <w:rPr>
                <w:rFonts w:ascii="Times New Roman" w:hAnsi="Times New Roman" w:cs="Times New Roman"/>
                <w:lang w:val="en-GB"/>
              </w:rPr>
            </w:pPr>
          </w:p>
        </w:tc>
        <w:tc>
          <w:tcPr>
            <w:tcW w:w="5615" w:type="dxa"/>
          </w:tcPr>
          <w:p w14:paraId="6046D89A"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Meststoffen die bestaan uit plantaardige of dierlijke materialen die voortkomen uit bij- of eindproducten van </w:t>
            </w:r>
            <w:r w:rsidRPr="007B0BF3">
              <w:rPr>
                <w:rFonts w:ascii="Times New Roman" w:hAnsi="Times New Roman" w:cs="Times New Roman"/>
                <w:lang w:val="nl"/>
              </w:rPr>
              <w:lastRenderedPageBreak/>
              <w:t xml:space="preserve">natuurlijk optredende processen, zoals dierenmest en gecomposteerde organische materie. </w:t>
            </w:r>
          </w:p>
        </w:tc>
        <w:tc>
          <w:tcPr>
            <w:tcW w:w="616" w:type="dxa"/>
          </w:tcPr>
          <w:p w14:paraId="18F08807"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1</w:t>
            </w:r>
          </w:p>
        </w:tc>
      </w:tr>
      <w:tr w:rsidR="006E7F98" w:rsidRPr="007B0BF3" w14:paraId="33784F77" w14:textId="77777777" w:rsidTr="2C6C7817">
        <w:tc>
          <w:tcPr>
            <w:tcW w:w="2062" w:type="dxa"/>
          </w:tcPr>
          <w:p w14:paraId="1F63E4BA"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Oxidatie</w:t>
            </w:r>
          </w:p>
        </w:tc>
        <w:tc>
          <w:tcPr>
            <w:tcW w:w="1469" w:type="dxa"/>
          </w:tcPr>
          <w:p w14:paraId="564A6D30" w14:textId="77777777" w:rsidR="006E7F98" w:rsidRPr="007B0BF3" w:rsidRDefault="006E7F98" w:rsidP="00525540">
            <w:pPr>
              <w:jc w:val="both"/>
              <w:rPr>
                <w:rFonts w:ascii="Times New Roman" w:hAnsi="Times New Roman" w:cs="Times New Roman"/>
                <w:lang w:val="en-GB"/>
              </w:rPr>
            </w:pPr>
          </w:p>
        </w:tc>
        <w:tc>
          <w:tcPr>
            <w:tcW w:w="5615" w:type="dxa"/>
          </w:tcPr>
          <w:p w14:paraId="004BBE6E"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De toevoeging van zuurstof aan, verwijdering van waterstof of elektronen uit een element of verbinding. In het milieu wordt organische materie geoxideerd tot stabielere stoffen. Oxidatie is het tegenovergestelde van ‘reductie’. Oxidatie van organische materie wordt ‘verbranden’ genoemd, en die van ijzer ‘roesten’.</w:t>
            </w:r>
          </w:p>
        </w:tc>
        <w:tc>
          <w:tcPr>
            <w:tcW w:w="616" w:type="dxa"/>
          </w:tcPr>
          <w:p w14:paraId="74D53C5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0756D53E" w14:textId="77777777" w:rsidTr="2C6C7817">
        <w:tc>
          <w:tcPr>
            <w:tcW w:w="2062" w:type="dxa"/>
          </w:tcPr>
          <w:p w14:paraId="298D4E24"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Permacultuur</w:t>
            </w:r>
          </w:p>
        </w:tc>
        <w:tc>
          <w:tcPr>
            <w:tcW w:w="1469" w:type="dxa"/>
          </w:tcPr>
          <w:p w14:paraId="2CFB809D" w14:textId="77777777" w:rsidR="006E7F98" w:rsidRPr="007B0BF3" w:rsidRDefault="006E7F98" w:rsidP="00A655ED">
            <w:pPr>
              <w:jc w:val="both"/>
              <w:rPr>
                <w:rFonts w:ascii="Times New Roman" w:hAnsi="Times New Roman" w:cs="Times New Roman"/>
                <w:lang w:val="en-GB"/>
              </w:rPr>
            </w:pPr>
          </w:p>
        </w:tc>
        <w:tc>
          <w:tcPr>
            <w:tcW w:w="5615" w:type="dxa"/>
          </w:tcPr>
          <w:p w14:paraId="4781D017"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 xml:space="preserve">Permacultuur is het creëren van agrarisch productieve ecosystemen die de diversiteit, stabiliteit en veerkracht van natuurlijk ecosystemen nabootsen. Permacultuur is bedoeld om een landschap te ontwikkelen dat generaties lang zelfvoorzienend en productief is. Het is een regeneratief landbouwsysteem dat een reeks agrarische praktijken omvat, een ontwerpsysteem om die praktijken te selecteren, combineren en regelen, alsook het daaruit voortkomende agro-ecologische landbouwsysteem. Het kan op een schaal van balkongewassen tot meerdere hectares toegepast worden. </w:t>
            </w:r>
          </w:p>
        </w:tc>
        <w:tc>
          <w:tcPr>
            <w:tcW w:w="616" w:type="dxa"/>
          </w:tcPr>
          <w:p w14:paraId="5A18E004"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14</w:t>
            </w:r>
          </w:p>
        </w:tc>
      </w:tr>
      <w:tr w:rsidR="006E7F98" w:rsidRPr="007B0BF3" w14:paraId="6E458802" w14:textId="77777777" w:rsidTr="2C6C7817">
        <w:tc>
          <w:tcPr>
            <w:tcW w:w="2062" w:type="dxa"/>
          </w:tcPr>
          <w:p w14:paraId="293F728F"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Planetaire gezondheid</w:t>
            </w:r>
          </w:p>
        </w:tc>
        <w:tc>
          <w:tcPr>
            <w:tcW w:w="1469" w:type="dxa"/>
          </w:tcPr>
          <w:p w14:paraId="021A92EC" w14:textId="77777777" w:rsidR="006E7F98" w:rsidRPr="007B0BF3" w:rsidRDefault="006E7F98" w:rsidP="00A655ED">
            <w:pPr>
              <w:jc w:val="both"/>
              <w:rPr>
                <w:rFonts w:ascii="Times New Roman" w:hAnsi="Times New Roman" w:cs="Times New Roman"/>
                <w:lang w:val="en-GB"/>
              </w:rPr>
            </w:pPr>
          </w:p>
        </w:tc>
        <w:tc>
          <w:tcPr>
            <w:tcW w:w="5615" w:type="dxa"/>
          </w:tcPr>
          <w:p w14:paraId="50831956"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Voor planetaire gezondheid draagt de bodem bij aan meerdere kritieke processen, waaronder via biomassaproductie, door het reguleren van het koolstofreservoir, het bieden van een leefgebied voor 25% van de mondiale biodiversiteit, het circuleren van voedingsstoffen waarvan terrestrische systemen afhankelijk zijn, en het circuleren van water. Bodemaantasting is direct schadelijk voor de planetaire gezondheid en vermindert het vermogen van de bodem om de gezondheid van toekomstige menselijke generaties te ondersteunen.</w:t>
            </w:r>
          </w:p>
        </w:tc>
        <w:tc>
          <w:tcPr>
            <w:tcW w:w="616" w:type="dxa"/>
          </w:tcPr>
          <w:p w14:paraId="506FDB86"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12</w:t>
            </w:r>
          </w:p>
        </w:tc>
      </w:tr>
      <w:tr w:rsidR="006E7F98" w:rsidRPr="007B0BF3" w14:paraId="1B75630C" w14:textId="77777777" w:rsidTr="2C6C7817">
        <w:tc>
          <w:tcPr>
            <w:tcW w:w="2062" w:type="dxa"/>
          </w:tcPr>
          <w:p w14:paraId="7C7F96E1"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Plantbeschikbaar water</w:t>
            </w:r>
          </w:p>
        </w:tc>
        <w:tc>
          <w:tcPr>
            <w:tcW w:w="1469" w:type="dxa"/>
          </w:tcPr>
          <w:p w14:paraId="45CC3424" w14:textId="77777777" w:rsidR="006E7F98" w:rsidRPr="007B0BF3" w:rsidRDefault="006E7F98" w:rsidP="00525540">
            <w:pPr>
              <w:jc w:val="both"/>
              <w:rPr>
                <w:rFonts w:ascii="Times New Roman" w:hAnsi="Times New Roman" w:cs="Times New Roman"/>
                <w:lang w:val="en-GB"/>
              </w:rPr>
            </w:pPr>
          </w:p>
        </w:tc>
        <w:tc>
          <w:tcPr>
            <w:tcW w:w="5615" w:type="dxa"/>
          </w:tcPr>
          <w:p w14:paraId="45F93367"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Totale hoeveelheid water in de wortelzone die beschikbaar is voor evapotranspiratie. Dit is water dat in de bodem wordt vastgehouden tussen de toestanden van veldcapaciteit en permanent verwelkingspunt. Meestal uitgedrukt in mm. Hoe meer plantbeschikbaar water, hoe groter de productiviteit en biologische activiteit van de bodem. </w:t>
            </w:r>
          </w:p>
          <w:p w14:paraId="0435C698"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Grafische illustratie van het effect van korrelgrootte van de bodem op de plantbeschikbare watercapaciteit naar Hantley (2023; 5)</w:t>
            </w:r>
          </w:p>
          <w:p w14:paraId="1E107655" w14:textId="77777777" w:rsidR="006E7F98" w:rsidRPr="007B0BF3" w:rsidRDefault="006E7F98" w:rsidP="00525540">
            <w:pPr>
              <w:jc w:val="both"/>
              <w:rPr>
                <w:rFonts w:ascii="Times New Roman" w:hAnsi="Times New Roman" w:cs="Times New Roman"/>
                <w:lang w:val="nl-NL"/>
              </w:rPr>
            </w:pPr>
          </w:p>
          <w:p w14:paraId="78986ECC"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noProof/>
                <w:lang w:val="nl"/>
              </w:rPr>
              <w:lastRenderedPageBreak/>
              <w:drawing>
                <wp:inline distT="0" distB="0" distL="0" distR="0" wp14:anchorId="5A897815" wp14:editId="66D09B5D">
                  <wp:extent cx="3428736" cy="2879187"/>
                  <wp:effectExtent l="0" t="0" r="0" b="0"/>
                  <wp:docPr id="18668377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8819" cy="2896051"/>
                          </a:xfrm>
                          <a:prstGeom prst="rect">
                            <a:avLst/>
                          </a:prstGeom>
                        </pic:spPr>
                      </pic:pic>
                    </a:graphicData>
                  </a:graphic>
                </wp:inline>
              </w:drawing>
            </w:r>
          </w:p>
          <w:p w14:paraId="0ADF72BC"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color w:val="000000" w:themeColor="text1"/>
                <w:shd w:val="clear" w:color="auto" w:fill="FFFFFF"/>
                <w:lang w:val="nl"/>
              </w:rPr>
              <w:t xml:space="preserve">Bron: Huntley (2023). Springer, Cham. </w:t>
            </w:r>
            <w:hyperlink r:id="rId14" w:history="1">
              <w:r w:rsidRPr="007B0BF3">
                <w:rPr>
                  <w:rStyle w:val="Hyperlink"/>
                  <w:rFonts w:ascii="Times New Roman" w:hAnsi="Times New Roman" w:cs="Times New Roman"/>
                  <w:color w:val="000000" w:themeColor="text1"/>
                  <w:shd w:val="clear" w:color="auto" w:fill="FFFFFF"/>
                  <w:lang w:val="nl"/>
                </w:rPr>
                <w:t>https://doi.org/10.1007/978-3-031-18923-4_6</w:t>
              </w:r>
            </w:hyperlink>
            <w:r w:rsidRPr="007B0BF3">
              <w:rPr>
                <w:rStyle w:val="Hyperlink"/>
                <w:rFonts w:ascii="Times New Roman" w:hAnsi="Times New Roman" w:cs="Times New Roman"/>
                <w:color w:val="000000" w:themeColor="text1"/>
                <w:shd w:val="clear" w:color="auto" w:fill="FFFFFF"/>
                <w:lang w:val="nl"/>
              </w:rPr>
              <w:t>,</w:t>
            </w:r>
            <w:r w:rsidRPr="007B0BF3">
              <w:rPr>
                <w:rStyle w:val="Hyperlink"/>
                <w:color w:val="000000" w:themeColor="text1"/>
                <w:shd w:val="clear" w:color="auto" w:fill="FFFFFF"/>
                <w:lang w:val="nl"/>
              </w:rPr>
              <w:t xml:space="preserve"> </w:t>
            </w:r>
            <w:hyperlink r:id="rId15" w:history="1">
              <w:r w:rsidRPr="007B0BF3">
                <w:rPr>
                  <w:rStyle w:val="Hyperlink"/>
                  <w:rFonts w:ascii="Times New Roman" w:hAnsi="Times New Roman" w:cs="Times New Roman"/>
                  <w:lang w:val="nl"/>
                </w:rPr>
                <w:t>https://link.springer.com/chapter/10.1007/978-3-031-18923-4_6/figures/4</w:t>
              </w:r>
            </w:hyperlink>
          </w:p>
        </w:tc>
        <w:tc>
          <w:tcPr>
            <w:tcW w:w="616" w:type="dxa"/>
          </w:tcPr>
          <w:p w14:paraId="39415C0E"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lastRenderedPageBreak/>
              <w:t>3, 4, 5</w:t>
            </w:r>
          </w:p>
        </w:tc>
      </w:tr>
      <w:tr w:rsidR="006E7F98" w:rsidRPr="007B0BF3" w14:paraId="3C827E6B" w14:textId="77777777" w:rsidTr="2C6C7817">
        <w:tc>
          <w:tcPr>
            <w:tcW w:w="2062" w:type="dxa"/>
          </w:tcPr>
          <w:p w14:paraId="016594A9"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Reductie</w:t>
            </w:r>
          </w:p>
        </w:tc>
        <w:tc>
          <w:tcPr>
            <w:tcW w:w="1469" w:type="dxa"/>
          </w:tcPr>
          <w:p w14:paraId="3104CDF2" w14:textId="77777777" w:rsidR="006E7F98" w:rsidRPr="007B0BF3" w:rsidRDefault="006E7F98" w:rsidP="00525540">
            <w:pPr>
              <w:jc w:val="both"/>
              <w:rPr>
                <w:rFonts w:ascii="Times New Roman" w:hAnsi="Times New Roman" w:cs="Times New Roman"/>
                <w:lang w:val="en-GB"/>
              </w:rPr>
            </w:pPr>
          </w:p>
        </w:tc>
        <w:tc>
          <w:tcPr>
            <w:tcW w:w="5615" w:type="dxa"/>
          </w:tcPr>
          <w:p w14:paraId="205D7962" w14:textId="77777777" w:rsidR="006E7F98" w:rsidRPr="007B0BF3" w:rsidRDefault="006E7F98" w:rsidP="00525540">
            <w:pPr>
              <w:jc w:val="both"/>
              <w:rPr>
                <w:rFonts w:ascii="Times New Roman" w:hAnsi="Times New Roman" w:cs="Times New Roman"/>
                <w:lang w:val="en-GB"/>
              </w:rPr>
            </w:pPr>
            <w:r w:rsidRPr="007B0BF3">
              <w:rPr>
                <w:rFonts w:ascii="Times New Roman" w:hAnsi="Times New Roman" w:cs="Times New Roman"/>
                <w:lang w:val="nl"/>
              </w:rPr>
              <w:t>De toevoeging van waterstof aan, verwijdering van zuurstof uit of toevoeging van elektronen aan een element of verbinding. Onder anaerobe redoxomstandigheden (waar geen opgeloste zuurstof aanwezig is), zoals in ‘gley’-bodems, worden zwavelverbindingen gereduceerd tot sterk geurend waterstofsulfide (H</w:t>
            </w:r>
            <w:r w:rsidRPr="007B0BF3">
              <w:rPr>
                <w:rFonts w:ascii="Times New Roman" w:hAnsi="Times New Roman" w:cs="Times New Roman"/>
                <w:vertAlign w:val="subscript"/>
                <w:lang w:val="nl"/>
              </w:rPr>
              <w:t>2</w:t>
            </w:r>
            <w:r w:rsidRPr="007B0BF3">
              <w:rPr>
                <w:rFonts w:ascii="Times New Roman" w:hAnsi="Times New Roman" w:cs="Times New Roman"/>
                <w:lang w:val="nl"/>
              </w:rPr>
              <w:t>S) en andere verbindingen. Reductie is het tegenovergestelde van oxidatie.</w:t>
            </w:r>
          </w:p>
        </w:tc>
        <w:tc>
          <w:tcPr>
            <w:tcW w:w="616" w:type="dxa"/>
          </w:tcPr>
          <w:p w14:paraId="3D0679FC"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7B2A5DAA" w14:textId="77777777" w:rsidTr="2C6C7817">
        <w:tc>
          <w:tcPr>
            <w:tcW w:w="2062" w:type="dxa"/>
          </w:tcPr>
          <w:p w14:paraId="7538A423" w14:textId="77777777" w:rsidR="006E7F98" w:rsidRPr="007B0BF3" w:rsidRDefault="006E7F98" w:rsidP="00A655ED">
            <w:pPr>
              <w:rPr>
                <w:rFonts w:ascii="Times New Roman" w:hAnsi="Times New Roman" w:cs="Times New Roman"/>
                <w:b/>
                <w:color w:val="BF4E14" w:themeColor="accent2" w:themeShade="BF"/>
                <w:lang w:val="en-GB"/>
              </w:rPr>
            </w:pPr>
            <w:r w:rsidRPr="007B0BF3">
              <w:rPr>
                <w:rFonts w:ascii="Times New Roman" w:hAnsi="Times New Roman" w:cs="Times New Roman"/>
                <w:b/>
                <w:color w:val="3A7C22" w:themeColor="accent6" w:themeShade="BF"/>
                <w:lang w:val="nl"/>
              </w:rPr>
              <w:t>Regeneratieve landbouw</w:t>
            </w:r>
          </w:p>
        </w:tc>
        <w:tc>
          <w:tcPr>
            <w:tcW w:w="1469" w:type="dxa"/>
          </w:tcPr>
          <w:p w14:paraId="18FDC7AE" w14:textId="77777777" w:rsidR="006E7F98" w:rsidRPr="007B0BF3" w:rsidRDefault="006E7F98" w:rsidP="00A655ED">
            <w:pPr>
              <w:jc w:val="both"/>
              <w:rPr>
                <w:rFonts w:ascii="Times New Roman" w:hAnsi="Times New Roman" w:cs="Times New Roman"/>
                <w:lang w:val="en-GB"/>
              </w:rPr>
            </w:pPr>
          </w:p>
        </w:tc>
        <w:tc>
          <w:tcPr>
            <w:tcW w:w="5615" w:type="dxa"/>
          </w:tcPr>
          <w:p w14:paraId="5AE22684"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Op wetenschap gebaseerde benadering van landbouw en landbeheer die zich richt op het herstellen en versterken van de bodemgezondheid, biodiversiteit en ecosysteemfuncties en tegelijk het verbeteren van de productiviteit en veerkracht van de landbouw. Hierbij wordt gebruikgemaakt van praktijken die aangetaste bodems en ecosystemen actief regenereren en een positieve terugkoppeling creëren die gunstig is voor zowel het milieu als de landbouwsystemen. De nadruk ligt hierbij op de onderlinge verbondenheid van bodem, planten, dieren en mensen, en het doel is om een regeneratieve cyclus te creëren die de ecosysteemdiensten versterkt en de duurzaamheid van de landbouw op lange termijn ondersteunt.</w:t>
            </w:r>
          </w:p>
        </w:tc>
        <w:tc>
          <w:tcPr>
            <w:tcW w:w="616" w:type="dxa"/>
          </w:tcPr>
          <w:p w14:paraId="30EC7AA8"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1, 41</w:t>
            </w:r>
          </w:p>
        </w:tc>
      </w:tr>
      <w:tr w:rsidR="006E7F98" w:rsidRPr="007B0BF3" w14:paraId="238F59E0" w14:textId="77777777" w:rsidTr="2C6C7817">
        <w:tc>
          <w:tcPr>
            <w:tcW w:w="2062" w:type="dxa"/>
          </w:tcPr>
          <w:p w14:paraId="23582C69"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Resistentie</w:t>
            </w:r>
          </w:p>
        </w:tc>
        <w:tc>
          <w:tcPr>
            <w:tcW w:w="1469" w:type="dxa"/>
          </w:tcPr>
          <w:p w14:paraId="08AC701F" w14:textId="77777777" w:rsidR="006E7F98" w:rsidRPr="007B0BF3" w:rsidRDefault="006E7F98" w:rsidP="00525540">
            <w:pPr>
              <w:jc w:val="both"/>
              <w:rPr>
                <w:rFonts w:ascii="Times New Roman" w:hAnsi="Times New Roman" w:cs="Times New Roman"/>
                <w:lang w:val="en-GB"/>
              </w:rPr>
            </w:pPr>
          </w:p>
        </w:tc>
        <w:tc>
          <w:tcPr>
            <w:tcW w:w="5615" w:type="dxa"/>
          </w:tcPr>
          <w:p w14:paraId="5A55FCAC"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vermogen van een ecosysteem om stress of verstoring te weerstaan zonder schadelijke veranderingen aan de structuur of functie ervan, waarbij een evenwichtstoestand wordt behouden.</w:t>
            </w:r>
          </w:p>
        </w:tc>
        <w:tc>
          <w:tcPr>
            <w:tcW w:w="616" w:type="dxa"/>
          </w:tcPr>
          <w:p w14:paraId="2FCB4128"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3E5582CB" w14:textId="77777777" w:rsidTr="2C6C7817">
        <w:tc>
          <w:tcPr>
            <w:tcW w:w="2062" w:type="dxa"/>
          </w:tcPr>
          <w:p w14:paraId="4D779EA5"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Rest</w:t>
            </w:r>
          </w:p>
        </w:tc>
        <w:tc>
          <w:tcPr>
            <w:tcW w:w="1469" w:type="dxa"/>
          </w:tcPr>
          <w:p w14:paraId="010E0998" w14:textId="77777777" w:rsidR="006E7F98" w:rsidRPr="007B0BF3" w:rsidRDefault="006E7F98" w:rsidP="00525540">
            <w:pPr>
              <w:jc w:val="both"/>
              <w:rPr>
                <w:rFonts w:ascii="Times New Roman" w:hAnsi="Times New Roman" w:cs="Times New Roman"/>
                <w:lang w:val="en-GB"/>
              </w:rPr>
            </w:pPr>
          </w:p>
        </w:tc>
        <w:tc>
          <w:tcPr>
            <w:tcW w:w="5615" w:type="dxa"/>
          </w:tcPr>
          <w:p w14:paraId="1292C40B"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Elk organisch materiaal dat wordt gegenereerd tijdens de productie, verwerking of consumptie van gewassen, uiteenlopend van wortels, stoppels, stro en bladeren tot industrieel en stedelijk ‘afval’.</w:t>
            </w:r>
          </w:p>
        </w:tc>
        <w:tc>
          <w:tcPr>
            <w:tcW w:w="616" w:type="dxa"/>
          </w:tcPr>
          <w:p w14:paraId="237799D7"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09E9AC51" w14:textId="77777777" w:rsidTr="2C6C7817">
        <w:tc>
          <w:tcPr>
            <w:tcW w:w="2062" w:type="dxa"/>
          </w:tcPr>
          <w:p w14:paraId="718771FC"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Rijpadenteelt</w:t>
            </w:r>
          </w:p>
        </w:tc>
        <w:tc>
          <w:tcPr>
            <w:tcW w:w="1469" w:type="dxa"/>
          </w:tcPr>
          <w:p w14:paraId="742CB699" w14:textId="77777777" w:rsidR="006E7F98" w:rsidRPr="007B0BF3" w:rsidRDefault="006E7F98" w:rsidP="002A67F8">
            <w:pPr>
              <w:jc w:val="both"/>
              <w:rPr>
                <w:rFonts w:ascii="Times New Roman" w:hAnsi="Times New Roman" w:cs="Times New Roman"/>
                <w:lang w:val="en-GB"/>
              </w:rPr>
            </w:pPr>
          </w:p>
        </w:tc>
        <w:tc>
          <w:tcPr>
            <w:tcW w:w="5615" w:type="dxa"/>
          </w:tcPr>
          <w:p w14:paraId="7265F4B4"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gebruik van dezelfde rijpaden voor machines voor verschillende toepassingen binnen één jaar en dezelfde rijpaden door de jaren heen, doorgaans ondersteund met een satellietnavigatiesysteem om bodemverdichting te verminderen.</w:t>
            </w:r>
          </w:p>
        </w:tc>
        <w:tc>
          <w:tcPr>
            <w:tcW w:w="616" w:type="dxa"/>
          </w:tcPr>
          <w:p w14:paraId="4C699799"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441122A4" w14:textId="77777777" w:rsidTr="2C6C7817">
        <w:tc>
          <w:tcPr>
            <w:tcW w:w="2062" w:type="dxa"/>
          </w:tcPr>
          <w:p w14:paraId="648449D5"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lastRenderedPageBreak/>
              <w:t>Sporenelementen</w:t>
            </w:r>
          </w:p>
        </w:tc>
        <w:tc>
          <w:tcPr>
            <w:tcW w:w="1469" w:type="dxa"/>
          </w:tcPr>
          <w:p w14:paraId="4211693D" w14:textId="77777777" w:rsidR="006E7F98" w:rsidRPr="007B0BF3" w:rsidRDefault="006E7F98" w:rsidP="00A655ED">
            <w:pPr>
              <w:jc w:val="both"/>
              <w:rPr>
                <w:rFonts w:ascii="Times New Roman" w:hAnsi="Times New Roman" w:cs="Times New Roman"/>
                <w:lang w:val="en-GB"/>
              </w:rPr>
            </w:pPr>
          </w:p>
        </w:tc>
        <w:tc>
          <w:tcPr>
            <w:tcW w:w="5615" w:type="dxa"/>
          </w:tcPr>
          <w:p w14:paraId="30FF227A"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Worden gezien als indicatoren of restanten die aanwijzingen geven voor gebeurtenissen of omstandigheden uit het verleden. Hierbij kan het gaan om fysieke markeringen die in het milieu zijn achtergebleven, zoals bodemmonsters die wijzen op vroeger landgebruik, of chemische sporen die informatie geven over verontreinigingsniveaus of ecologische veranderingen. Dit zijn elementen die in zeer kleine hoeveelheden in een gegeven milieu aanwezig zijn, typisch minder dan 100 delen per miljoen (ppm) of 100 mg/kg. Ze kunnen essentieel of giftig zijn voor organismen, afhankelijk van de concentratie ervan. Elementen als arseen (As), cadmium (Cd) en lood (Pb) worden vaak als sporenelementen bestudeerd vanwege hun potentiële milieu- en gezondheidsimpact.</w:t>
            </w:r>
          </w:p>
        </w:tc>
        <w:tc>
          <w:tcPr>
            <w:tcW w:w="616" w:type="dxa"/>
          </w:tcPr>
          <w:p w14:paraId="46DA6994"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34</w:t>
            </w:r>
          </w:p>
        </w:tc>
      </w:tr>
      <w:tr w:rsidR="006E7F98" w:rsidRPr="007B0BF3" w14:paraId="0D4031D1" w14:textId="77777777" w:rsidTr="2C6C7817">
        <w:tc>
          <w:tcPr>
            <w:tcW w:w="2062" w:type="dxa"/>
          </w:tcPr>
          <w:p w14:paraId="606AB92E"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Toegankelijkheid</w:t>
            </w:r>
          </w:p>
        </w:tc>
        <w:tc>
          <w:tcPr>
            <w:tcW w:w="1469" w:type="dxa"/>
          </w:tcPr>
          <w:p w14:paraId="794EFE1D" w14:textId="77777777" w:rsidR="006E7F98" w:rsidRPr="007B0BF3" w:rsidRDefault="006E7F98" w:rsidP="00A655ED">
            <w:pPr>
              <w:jc w:val="both"/>
              <w:rPr>
                <w:rFonts w:ascii="Times New Roman" w:hAnsi="Times New Roman" w:cs="Times New Roman"/>
                <w:lang w:val="en-GB"/>
              </w:rPr>
            </w:pPr>
          </w:p>
        </w:tc>
        <w:tc>
          <w:tcPr>
            <w:tcW w:w="5615" w:type="dxa"/>
          </w:tcPr>
          <w:p w14:paraId="667787A8"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Ontwerp van producten, apparaten, diensten of omgevingen voor mensen met beperkingen. Het omvat het gemak waarmee individuen toegang kunnen hebben tot en voordeel kunnen halen uit diverse hulpbronnen, waaronder fysieke ruimtes, digitale inhoud en informatiediensten. Toegankelijkheid is erop gericht te zorgen dat alle individuen, ongeacht hun vermogens of beperkingen, gelijke mogelijkheden hebben om aan de samenleving deel te nemen. In bredere zin omvat het de bruikbaarheid van omgevingen en diensten door mensen met diverse behoeften. Dit concept is cruciaal op allerlei gebieden, zoals architectuur, webdesign, onderwijs en openbaar beleid.</w:t>
            </w:r>
          </w:p>
        </w:tc>
        <w:tc>
          <w:tcPr>
            <w:tcW w:w="616" w:type="dxa"/>
          </w:tcPr>
          <w:p w14:paraId="129C323E"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30</w:t>
            </w:r>
          </w:p>
        </w:tc>
      </w:tr>
      <w:tr w:rsidR="006E7F98" w:rsidRPr="007B0BF3" w14:paraId="7B7539BF" w14:textId="77777777" w:rsidTr="2C6C7817">
        <w:tc>
          <w:tcPr>
            <w:tcW w:w="2062" w:type="dxa"/>
          </w:tcPr>
          <w:p w14:paraId="72C3E8BA" w14:textId="77777777" w:rsidR="006E7F98" w:rsidRPr="007B0BF3" w:rsidRDefault="006E7F98" w:rsidP="00A655ED">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Transdisciplinariteit</w:t>
            </w:r>
          </w:p>
        </w:tc>
        <w:tc>
          <w:tcPr>
            <w:tcW w:w="1469" w:type="dxa"/>
          </w:tcPr>
          <w:p w14:paraId="60C4248D" w14:textId="77777777" w:rsidR="006E7F98" w:rsidRPr="007B0BF3" w:rsidRDefault="006E7F98" w:rsidP="00A655ED">
            <w:pPr>
              <w:jc w:val="both"/>
              <w:rPr>
                <w:rFonts w:ascii="Times New Roman" w:hAnsi="Times New Roman" w:cs="Times New Roman"/>
                <w:color w:val="3A7C22" w:themeColor="accent6" w:themeShade="BF"/>
                <w:lang w:val="en-GB"/>
              </w:rPr>
            </w:pPr>
          </w:p>
        </w:tc>
        <w:tc>
          <w:tcPr>
            <w:tcW w:w="5615" w:type="dxa"/>
          </w:tcPr>
          <w:p w14:paraId="5FBB0E29"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Integreert kennis uit diverse disciplines en niet-academische bronnen om complexe problemen aan te pakken, gericht op samenwerking tussen vakgebieden. Onderzoeksbenadering die kennis uit verschillende academische disciplines combineert en samenwerking met niet-academische belanghebbenden inzet om complexe maatschappelijke uitdagingen aan te pakken.</w:t>
            </w:r>
            <w:r w:rsidRPr="007B0BF3">
              <w:rPr>
                <w:lang w:val="nl"/>
              </w:rPr>
              <w:t xml:space="preserve"> </w:t>
            </w:r>
            <w:r w:rsidRPr="007B0BF3">
              <w:rPr>
                <w:rFonts w:ascii="Times New Roman" w:hAnsi="Times New Roman" w:cs="Times New Roman"/>
                <w:lang w:val="nl"/>
              </w:rPr>
              <w:t>Het benadrukt de onderlinge verbondenheid van diverse gebieden en is erop gericht om met holistische oplossingen te komen door diverse perspectieven en expertises van verschillende disciplines te combineren. Het integratieniveau is hoog en de disciplines en belanghebbenden werken samen.</w:t>
            </w:r>
          </w:p>
        </w:tc>
        <w:tc>
          <w:tcPr>
            <w:tcW w:w="616" w:type="dxa"/>
          </w:tcPr>
          <w:p w14:paraId="261B2C0A"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31, 36</w:t>
            </w:r>
          </w:p>
        </w:tc>
      </w:tr>
      <w:tr w:rsidR="006E7F98" w:rsidRPr="007B0BF3" w14:paraId="01323EA5" w14:textId="77777777" w:rsidTr="2C6C7817">
        <w:tc>
          <w:tcPr>
            <w:tcW w:w="2062" w:type="dxa"/>
          </w:tcPr>
          <w:p w14:paraId="5B35447A"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Uitputting</w:t>
            </w:r>
          </w:p>
        </w:tc>
        <w:tc>
          <w:tcPr>
            <w:tcW w:w="1469" w:type="dxa"/>
          </w:tcPr>
          <w:p w14:paraId="2590F256" w14:textId="77777777" w:rsidR="006E7F98" w:rsidRPr="007B0BF3" w:rsidRDefault="006E7F98" w:rsidP="002A67F8">
            <w:pPr>
              <w:jc w:val="both"/>
              <w:rPr>
                <w:rFonts w:ascii="Times New Roman" w:hAnsi="Times New Roman" w:cs="Times New Roman"/>
                <w:lang w:val="en-GB"/>
              </w:rPr>
            </w:pPr>
          </w:p>
        </w:tc>
        <w:tc>
          <w:tcPr>
            <w:tcW w:w="5615" w:type="dxa"/>
          </w:tcPr>
          <w:p w14:paraId="44AD83F1"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De geleidelijke afname van reserves van voedingsstoffen en organische materie in bodems.</w:t>
            </w:r>
          </w:p>
        </w:tc>
        <w:tc>
          <w:tcPr>
            <w:tcW w:w="616" w:type="dxa"/>
          </w:tcPr>
          <w:p w14:paraId="4FAB7EF4"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4CE2435B" w14:textId="77777777" w:rsidTr="2C6C7817">
        <w:tc>
          <w:tcPr>
            <w:tcW w:w="2062" w:type="dxa"/>
          </w:tcPr>
          <w:p w14:paraId="7F99F7E9"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Veerkracht</w:t>
            </w:r>
          </w:p>
        </w:tc>
        <w:tc>
          <w:tcPr>
            <w:tcW w:w="1469" w:type="dxa"/>
          </w:tcPr>
          <w:p w14:paraId="50C899C9" w14:textId="77777777" w:rsidR="006E7F98" w:rsidRPr="007B0BF3" w:rsidRDefault="006E7F98" w:rsidP="00525540">
            <w:pPr>
              <w:jc w:val="both"/>
              <w:rPr>
                <w:rFonts w:ascii="Times New Roman" w:hAnsi="Times New Roman" w:cs="Times New Roman"/>
                <w:lang w:val="en-GB"/>
              </w:rPr>
            </w:pPr>
          </w:p>
        </w:tc>
        <w:tc>
          <w:tcPr>
            <w:tcW w:w="5615" w:type="dxa"/>
          </w:tcPr>
          <w:p w14:paraId="3AC087DD"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Het vermogen van een systeem en de samenstellende delen ervan om op een tijdige en efficiënte wijze te anticiperen op, zich aan te passen aan of te herstellen van de effecten van een gevaarlijk voorval of deze te absorberen, waarbij wordt gezorgd voor het behoud, het herstel of de verbetering van de essentiële basisstructuur en functie ervan.</w:t>
            </w:r>
          </w:p>
        </w:tc>
        <w:tc>
          <w:tcPr>
            <w:tcW w:w="616" w:type="dxa"/>
          </w:tcPr>
          <w:p w14:paraId="07290CF2"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1</w:t>
            </w:r>
          </w:p>
        </w:tc>
      </w:tr>
      <w:tr w:rsidR="006E7F98" w:rsidRPr="007B0BF3" w14:paraId="4C9CAA9B" w14:textId="77777777" w:rsidTr="2C6C7817">
        <w:tc>
          <w:tcPr>
            <w:tcW w:w="2062" w:type="dxa"/>
          </w:tcPr>
          <w:p w14:paraId="1F3ED0AE" w14:textId="77777777" w:rsidR="006E7F98" w:rsidRPr="007B0BF3" w:rsidRDefault="006E7F98" w:rsidP="002A67F8">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Veldcapaciteit</w:t>
            </w:r>
          </w:p>
        </w:tc>
        <w:tc>
          <w:tcPr>
            <w:tcW w:w="1469" w:type="dxa"/>
          </w:tcPr>
          <w:p w14:paraId="47D855CA" w14:textId="77777777" w:rsidR="006E7F98" w:rsidRPr="007B0BF3" w:rsidRDefault="006E7F98" w:rsidP="00525540">
            <w:pPr>
              <w:jc w:val="both"/>
              <w:rPr>
                <w:rFonts w:ascii="Times New Roman" w:hAnsi="Times New Roman" w:cs="Times New Roman"/>
                <w:lang w:val="en-GB"/>
              </w:rPr>
            </w:pPr>
          </w:p>
        </w:tc>
        <w:tc>
          <w:tcPr>
            <w:tcW w:w="5615" w:type="dxa"/>
          </w:tcPr>
          <w:p w14:paraId="515FF129"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 xml:space="preserve">De vochtomstandigheid waarbij een bodem de maximale hoeveelheid water bevat die hij tegen de zwaartekracht in kan vasthouden en waarbij verdere bevochtiging leidt tot drainage. Na verzadiging keren bodems doorgaans terug naar de veldcapaciteit, waarbij het debiet van neerwaartse beweging van water aanzienlijk is verlaagd, doorgaans 1-3 dagen na regen of irrigatie nadat het gravitatiewater (of vrije water) weg is gedraineerd. Wordt doorgaans uitgedrukt als een massa- of volumefractie van bodemwater. </w:t>
            </w:r>
          </w:p>
        </w:tc>
        <w:tc>
          <w:tcPr>
            <w:tcW w:w="616" w:type="dxa"/>
          </w:tcPr>
          <w:p w14:paraId="68B3965F"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7515E37B" w14:textId="77777777" w:rsidTr="2C6C7817">
        <w:tc>
          <w:tcPr>
            <w:tcW w:w="2062" w:type="dxa"/>
          </w:tcPr>
          <w:p w14:paraId="3149CBF5"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lastRenderedPageBreak/>
              <w:t>Verontreinigende stof</w:t>
            </w:r>
          </w:p>
        </w:tc>
        <w:tc>
          <w:tcPr>
            <w:tcW w:w="1469" w:type="dxa"/>
          </w:tcPr>
          <w:p w14:paraId="77225310" w14:textId="77777777" w:rsidR="006E7F98" w:rsidRPr="007B0BF3" w:rsidRDefault="006E7F98" w:rsidP="00525540">
            <w:pPr>
              <w:jc w:val="both"/>
              <w:rPr>
                <w:rFonts w:ascii="Times New Roman" w:hAnsi="Times New Roman" w:cs="Times New Roman"/>
                <w:lang w:val="en-GB"/>
              </w:rPr>
            </w:pPr>
          </w:p>
        </w:tc>
        <w:tc>
          <w:tcPr>
            <w:tcW w:w="5615" w:type="dxa"/>
          </w:tcPr>
          <w:p w14:paraId="7AD97D94" w14:textId="77777777" w:rsidR="006E7F98" w:rsidRPr="007B0BF3" w:rsidRDefault="006E7F98" w:rsidP="00525540">
            <w:pPr>
              <w:jc w:val="both"/>
              <w:rPr>
                <w:rFonts w:ascii="Times New Roman" w:hAnsi="Times New Roman" w:cs="Times New Roman"/>
                <w:lang w:val="nl-NL"/>
              </w:rPr>
            </w:pPr>
            <w:r w:rsidRPr="007B0BF3">
              <w:rPr>
                <w:rFonts w:ascii="Times New Roman" w:hAnsi="Times New Roman" w:cs="Times New Roman"/>
                <w:lang w:val="nl"/>
              </w:rPr>
              <w:t>Stof of verbinding die in de bodem (of het grondwater) aanwezig is en die als gevolg van de eigenschappen, hoeveelheid of concentratie ervan een schadelijk effect heeft op de bodemfunctie, de bodembiota en andere levende biota.</w:t>
            </w:r>
          </w:p>
        </w:tc>
        <w:tc>
          <w:tcPr>
            <w:tcW w:w="616" w:type="dxa"/>
          </w:tcPr>
          <w:p w14:paraId="04B37ED8"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w:t>
            </w:r>
          </w:p>
        </w:tc>
      </w:tr>
      <w:tr w:rsidR="006E7F98" w:rsidRPr="007B0BF3" w14:paraId="132AD7A4" w14:textId="77777777" w:rsidTr="2C6C7817">
        <w:tc>
          <w:tcPr>
            <w:tcW w:w="2062" w:type="dxa"/>
          </w:tcPr>
          <w:p w14:paraId="63C4DCAB"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Verzilting</w:t>
            </w:r>
          </w:p>
        </w:tc>
        <w:tc>
          <w:tcPr>
            <w:tcW w:w="1469" w:type="dxa"/>
          </w:tcPr>
          <w:p w14:paraId="1252770C" w14:textId="77777777" w:rsidR="006E7F98" w:rsidRPr="007B0BF3" w:rsidRDefault="006E7F98" w:rsidP="00525540">
            <w:pPr>
              <w:jc w:val="both"/>
              <w:rPr>
                <w:rFonts w:ascii="Times New Roman" w:hAnsi="Times New Roman" w:cs="Times New Roman"/>
                <w:lang w:val="en-GB"/>
              </w:rPr>
            </w:pPr>
          </w:p>
        </w:tc>
        <w:tc>
          <w:tcPr>
            <w:tcW w:w="5615" w:type="dxa"/>
          </w:tcPr>
          <w:p w14:paraId="00ADC28F" w14:textId="77777777" w:rsidR="006E7F98" w:rsidRPr="007B0BF3" w:rsidRDefault="006E7F98" w:rsidP="00525540">
            <w:pPr>
              <w:jc w:val="both"/>
              <w:rPr>
                <w:rFonts w:ascii="Times New Roman" w:hAnsi="Times New Roman" w:cs="Times New Roman"/>
                <w:lang w:val="nl-NL"/>
              </w:rPr>
            </w:pPr>
            <w:bookmarkStart w:id="1" w:name="_Hlk187700189"/>
            <w:r w:rsidRPr="007B0BF3">
              <w:rPr>
                <w:rFonts w:ascii="Times New Roman" w:hAnsi="Times New Roman" w:cs="Times New Roman"/>
                <w:lang w:val="nl"/>
              </w:rPr>
              <w:t>Ophoping van oplosbare zouten (beter oplosbaar dan gips) in de bovenste bodemlagen (zoute bodem = bodem die voldoende oplosbare zouten bevat voor een negatief effect op de meeste gewassen, doorgaans 4000 μS m</w:t>
            </w:r>
            <w:r w:rsidRPr="007B0BF3">
              <w:rPr>
                <w:rFonts w:ascii="Times New Roman" w:hAnsi="Times New Roman" w:cs="Times New Roman"/>
                <w:vertAlign w:val="superscript"/>
                <w:lang w:val="nl"/>
              </w:rPr>
              <w:t>-1</w:t>
            </w:r>
            <w:r w:rsidRPr="007B0BF3">
              <w:rPr>
                <w:rFonts w:ascii="Times New Roman" w:hAnsi="Times New Roman" w:cs="Times New Roman"/>
                <w:lang w:val="nl"/>
              </w:rPr>
              <w:t>).</w:t>
            </w:r>
            <w:bookmarkEnd w:id="1"/>
          </w:p>
        </w:tc>
        <w:tc>
          <w:tcPr>
            <w:tcW w:w="616" w:type="dxa"/>
          </w:tcPr>
          <w:p w14:paraId="250D8818"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19BB7621" w14:textId="77777777" w:rsidTr="2C6C7817">
        <w:tc>
          <w:tcPr>
            <w:tcW w:w="2062" w:type="dxa"/>
          </w:tcPr>
          <w:p w14:paraId="6D9F622A" w14:textId="77777777" w:rsidR="006E7F98" w:rsidRPr="007B0BF3" w:rsidRDefault="006E7F98" w:rsidP="4F734429">
            <w:pPr>
              <w:rPr>
                <w:rFonts w:ascii="Times New Roman" w:hAnsi="Times New Roman" w:cs="Times New Roman"/>
                <w:b/>
                <w:bCs/>
                <w:color w:val="3A7C22" w:themeColor="accent6" w:themeShade="BF"/>
                <w:lang w:val="en-GB"/>
              </w:rPr>
            </w:pPr>
            <w:r w:rsidRPr="007B0BF3">
              <w:rPr>
                <w:rFonts w:ascii="Times New Roman" w:hAnsi="Times New Roman" w:cs="Times New Roman"/>
                <w:b/>
                <w:bCs/>
                <w:color w:val="3A7C22" w:themeColor="accent6" w:themeShade="BF"/>
                <w:lang w:val="nl"/>
              </w:rPr>
              <w:t>Verzuring</w:t>
            </w:r>
          </w:p>
        </w:tc>
        <w:tc>
          <w:tcPr>
            <w:tcW w:w="1469" w:type="dxa"/>
          </w:tcPr>
          <w:p w14:paraId="1685D491" w14:textId="77777777" w:rsidR="006E7F98" w:rsidRPr="007B0BF3" w:rsidRDefault="006E7F98" w:rsidP="002A67F8">
            <w:pPr>
              <w:jc w:val="both"/>
              <w:rPr>
                <w:rFonts w:ascii="Times New Roman" w:hAnsi="Times New Roman" w:cs="Times New Roman"/>
                <w:lang w:val="en-GB"/>
              </w:rPr>
            </w:pPr>
          </w:p>
        </w:tc>
        <w:tc>
          <w:tcPr>
            <w:tcW w:w="5615" w:type="dxa"/>
          </w:tcPr>
          <w:p w14:paraId="27387EBE" w14:textId="77777777" w:rsidR="006E7F98" w:rsidRPr="007B0BF3" w:rsidRDefault="006E7F98" w:rsidP="002A67F8">
            <w:pPr>
              <w:jc w:val="both"/>
              <w:rPr>
                <w:rFonts w:ascii="Times New Roman" w:hAnsi="Times New Roman" w:cs="Times New Roman"/>
                <w:lang w:val="nl-NL"/>
              </w:rPr>
            </w:pPr>
            <w:bookmarkStart w:id="2" w:name="_Hlk187700470"/>
            <w:r w:rsidRPr="007B0BF3">
              <w:rPr>
                <w:rFonts w:ascii="Times New Roman" w:hAnsi="Times New Roman" w:cs="Times New Roman"/>
                <w:lang w:val="nl"/>
              </w:rPr>
              <w:t>Het proces waarbij de concentratie waterstofionen in de bodem geleidelijk toeneemt, veroorzaakt door de verwijdering van licht basische ionen met het gewas, uitloging en de toepassing van verzurende typen stikstofhoudende (N) meststof. Dit proces wordt versneld of onvoldoende gecompenseerd door natuurlijke bodembestanddelen, waaronder moedermateriaal.</w:t>
            </w:r>
            <w:bookmarkEnd w:id="2"/>
          </w:p>
        </w:tc>
        <w:tc>
          <w:tcPr>
            <w:tcW w:w="616" w:type="dxa"/>
          </w:tcPr>
          <w:p w14:paraId="3D62FE1D"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3</w:t>
            </w:r>
          </w:p>
        </w:tc>
      </w:tr>
      <w:tr w:rsidR="006E7F98" w:rsidRPr="007B0BF3" w14:paraId="2E7F254A" w14:textId="77777777" w:rsidTr="2C6C7817">
        <w:tc>
          <w:tcPr>
            <w:tcW w:w="2062" w:type="dxa"/>
          </w:tcPr>
          <w:p w14:paraId="47AF906D"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Waarde</w:t>
            </w:r>
          </w:p>
        </w:tc>
        <w:tc>
          <w:tcPr>
            <w:tcW w:w="1469" w:type="dxa"/>
          </w:tcPr>
          <w:p w14:paraId="35448788" w14:textId="77777777" w:rsidR="006E7F98" w:rsidRPr="007B0BF3" w:rsidRDefault="006E7F98" w:rsidP="00A655ED">
            <w:pPr>
              <w:jc w:val="both"/>
              <w:rPr>
                <w:rFonts w:ascii="Times New Roman" w:hAnsi="Times New Roman" w:cs="Times New Roman"/>
                <w:lang w:val="en-GB"/>
              </w:rPr>
            </w:pPr>
          </w:p>
        </w:tc>
        <w:tc>
          <w:tcPr>
            <w:tcW w:w="5615" w:type="dxa"/>
          </w:tcPr>
          <w:p w14:paraId="21102F65"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In de context van milieuwetenschap verwijst waarde naar het belang dat of de betekenis die wordt toegeschreven aan natuurlijke hulpbronnen, ecosystemen en biodiversiteit. Hierbij kan het gaan om allerlei dimensies, zoals ecologische, economische, sociale en intrinsieke waarden.</w:t>
            </w:r>
          </w:p>
          <w:p w14:paraId="04F6F802"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Ecologische waarde</w:t>
            </w:r>
            <w:r w:rsidRPr="007B0BF3">
              <w:rPr>
                <w:rFonts w:ascii="Times New Roman" w:hAnsi="Times New Roman" w:cs="Times New Roman"/>
                <w:lang w:val="nl"/>
              </w:rPr>
              <w:t>: Dit heeft betrekking op de rol die ecosystemen spelen bij het in stand houden van de biodiversiteit en het ondersteunen van levensprocessen. Zo zijn de binnenwateren van Antarctica bijvoorbeeld erkend voor hun unieke biodiversiteit en biologische productie, die kritiek zijn voor het ondersteunen van soorten die mogelijk endemisch zijn poolgebieden.</w:t>
            </w:r>
          </w:p>
          <w:p w14:paraId="11950EB1"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Economische waarde</w:t>
            </w:r>
            <w:r w:rsidRPr="007B0BF3">
              <w:rPr>
                <w:rFonts w:ascii="Times New Roman" w:hAnsi="Times New Roman" w:cs="Times New Roman"/>
                <w:lang w:val="nl"/>
              </w:rPr>
              <w:t>: Hierbij gaat het om de materiële voordelen die voortkomen uit natuurlijke hulpbronnen, zoals timmerhout, mineralen en ecosysteemdiensten als schoon water en schone lucht. De economische waarde wordt vaak beoordeeld via marktgebaseerde benaderingen of kosten-batenanalyses om de financiële voordelen van het behoud van natuurlijke leefgebieden te kwantificeren.</w:t>
            </w:r>
          </w:p>
          <w:p w14:paraId="1E6144FD"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Maatschappelijke waarde</w:t>
            </w:r>
            <w:r w:rsidRPr="007B0BF3">
              <w:rPr>
                <w:rFonts w:ascii="Times New Roman" w:hAnsi="Times New Roman" w:cs="Times New Roman"/>
                <w:lang w:val="nl"/>
              </w:rPr>
              <w:t>: Dit is een afspiegeling van het culturele en recreatieve belang van natuurlijke gebieden voor gemeenschappen. Hierbij gaat het om aspecten als esthetische waardering, spirituele banden met de natuur en de recreatiemogelijkheden die ecosystemen bieden.</w:t>
            </w:r>
          </w:p>
          <w:p w14:paraId="14A06997"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b/>
                <w:lang w:val="nl"/>
              </w:rPr>
              <w:t>Intrinsieke waarde</w:t>
            </w:r>
            <w:r w:rsidRPr="007B0BF3">
              <w:rPr>
                <w:rFonts w:ascii="Times New Roman" w:hAnsi="Times New Roman" w:cs="Times New Roman"/>
                <w:lang w:val="nl"/>
              </w:rPr>
              <w:t>: Dit concept suggereert dat de natuur van zichzelf een waarde heeft, onafhankelijk van de bruikbaarheid ervan voor de mens. Dit pleit voor de bescherming van ecosystemen op basis van de inherente waarde ervan.</w:t>
            </w:r>
          </w:p>
        </w:tc>
        <w:tc>
          <w:tcPr>
            <w:tcW w:w="616" w:type="dxa"/>
          </w:tcPr>
          <w:p w14:paraId="68FF8ADD"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21,22</w:t>
            </w:r>
          </w:p>
        </w:tc>
      </w:tr>
      <w:tr w:rsidR="006E7F98" w:rsidRPr="007B0BF3" w14:paraId="457E75A3" w14:textId="77777777" w:rsidTr="2C6C7817">
        <w:tc>
          <w:tcPr>
            <w:tcW w:w="2062" w:type="dxa"/>
          </w:tcPr>
          <w:p w14:paraId="5EC65C07" w14:textId="77777777" w:rsidR="006E7F98" w:rsidRPr="007B0BF3" w:rsidRDefault="006E7F98" w:rsidP="002A67F8">
            <w:pPr>
              <w:rPr>
                <w:rFonts w:ascii="Times New Roman" w:hAnsi="Times New Roman" w:cs="Times New Roman"/>
                <w:b/>
                <w:color w:val="3A7C22" w:themeColor="accent6" w:themeShade="BF"/>
                <w:lang w:val="en-GB"/>
              </w:rPr>
            </w:pPr>
            <w:r w:rsidRPr="007B0BF3">
              <w:rPr>
                <w:rFonts w:ascii="Times New Roman" w:hAnsi="Times New Roman" w:cs="Times New Roman"/>
                <w:b/>
                <w:color w:val="3A7C22" w:themeColor="accent6" w:themeShade="BF"/>
                <w:lang w:val="nl"/>
              </w:rPr>
              <w:t>Woestijnvorming</w:t>
            </w:r>
          </w:p>
        </w:tc>
        <w:tc>
          <w:tcPr>
            <w:tcW w:w="1469" w:type="dxa"/>
          </w:tcPr>
          <w:p w14:paraId="7AC551B4" w14:textId="77777777" w:rsidR="006E7F98" w:rsidRPr="007B0BF3" w:rsidRDefault="006E7F98" w:rsidP="002A67F8">
            <w:pPr>
              <w:jc w:val="both"/>
              <w:rPr>
                <w:rFonts w:ascii="Times New Roman" w:hAnsi="Times New Roman" w:cs="Times New Roman"/>
                <w:lang w:val="en-GB"/>
              </w:rPr>
            </w:pPr>
          </w:p>
        </w:tc>
        <w:tc>
          <w:tcPr>
            <w:tcW w:w="5615" w:type="dxa"/>
          </w:tcPr>
          <w:p w14:paraId="7EDC6C6F" w14:textId="77777777" w:rsidR="006E7F98" w:rsidRPr="007B0BF3" w:rsidRDefault="006E7F98" w:rsidP="002A67F8">
            <w:pPr>
              <w:jc w:val="both"/>
              <w:rPr>
                <w:rFonts w:ascii="Times New Roman" w:hAnsi="Times New Roman" w:cs="Times New Roman"/>
                <w:lang w:val="nl-NL"/>
              </w:rPr>
            </w:pPr>
            <w:r w:rsidRPr="007B0BF3">
              <w:rPr>
                <w:rFonts w:ascii="Times New Roman" w:hAnsi="Times New Roman" w:cs="Times New Roman"/>
                <w:lang w:val="nl"/>
              </w:rPr>
              <w:t>Het proces waarbij relatief droog land steeds droger wordt en doorgaans zijn waterlichamen, plantengroei en fauna verliest, ofwel direct als gevolg van klimaatverandering, dan wel indirect als gevolg van bodemaantasting door slecht beheer.</w:t>
            </w:r>
          </w:p>
        </w:tc>
        <w:tc>
          <w:tcPr>
            <w:tcW w:w="616" w:type="dxa"/>
          </w:tcPr>
          <w:p w14:paraId="6938DCE0" w14:textId="77777777" w:rsidR="006E7F98" w:rsidRPr="007B0BF3" w:rsidRDefault="006E7F98" w:rsidP="002A67F8">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4</w:t>
            </w:r>
          </w:p>
        </w:tc>
      </w:tr>
      <w:tr w:rsidR="006E7F98" w:rsidRPr="007B0BF3" w14:paraId="0BEF32F1" w14:textId="77777777" w:rsidTr="2C6C7817">
        <w:tc>
          <w:tcPr>
            <w:tcW w:w="2062" w:type="dxa"/>
          </w:tcPr>
          <w:p w14:paraId="1F73B626" w14:textId="77777777" w:rsidR="006E7F98" w:rsidRPr="007B0BF3" w:rsidRDefault="006E7F98" w:rsidP="00A655ED">
            <w:pPr>
              <w:rPr>
                <w:rFonts w:ascii="Times New Roman" w:hAnsi="Times New Roman" w:cs="Times New Roman"/>
                <w:b/>
                <w:color w:val="D86DCB" w:themeColor="accent5" w:themeTint="99"/>
                <w:lang w:val="en-GB"/>
              </w:rPr>
            </w:pPr>
            <w:r w:rsidRPr="007B0BF3">
              <w:rPr>
                <w:rFonts w:ascii="Times New Roman" w:hAnsi="Times New Roman" w:cs="Times New Roman"/>
                <w:b/>
                <w:color w:val="3A7C22" w:themeColor="accent6" w:themeShade="BF"/>
                <w:lang w:val="nl"/>
              </w:rPr>
              <w:t>Zorg</w:t>
            </w:r>
          </w:p>
        </w:tc>
        <w:tc>
          <w:tcPr>
            <w:tcW w:w="1469" w:type="dxa"/>
          </w:tcPr>
          <w:p w14:paraId="351F91AB" w14:textId="77777777" w:rsidR="006E7F98" w:rsidRPr="007B0BF3" w:rsidRDefault="006E7F98" w:rsidP="00A655ED">
            <w:pPr>
              <w:jc w:val="both"/>
              <w:rPr>
                <w:rFonts w:ascii="Times New Roman" w:hAnsi="Times New Roman" w:cs="Times New Roman"/>
                <w:lang w:val="en-GB"/>
              </w:rPr>
            </w:pPr>
          </w:p>
        </w:tc>
        <w:tc>
          <w:tcPr>
            <w:tcW w:w="5615" w:type="dxa"/>
          </w:tcPr>
          <w:p w14:paraId="17241A00" w14:textId="77777777" w:rsidR="006E7F98" w:rsidRPr="007B0BF3" w:rsidRDefault="006E7F98" w:rsidP="00A655ED">
            <w:pPr>
              <w:jc w:val="both"/>
              <w:rPr>
                <w:rFonts w:ascii="Times New Roman" w:hAnsi="Times New Roman" w:cs="Times New Roman"/>
                <w:lang w:val="nl-NL"/>
              </w:rPr>
            </w:pPr>
            <w:r w:rsidRPr="007B0BF3">
              <w:rPr>
                <w:rFonts w:ascii="Times New Roman" w:hAnsi="Times New Roman" w:cs="Times New Roman"/>
                <w:lang w:val="nl"/>
              </w:rPr>
              <w:t>Het bieden van wat noodzakelijk is voor de gezondheid, het welzijn, het onderhoud en de bescherming van iets of iemand. Deze definitie omvat een breed scala aan activiteiten en attitudes gericht op het bevorderen van welzijn en ondersteuning. Zorg wordt gezien als activiteiten gericht op het ondersteunen van de behoeften van individuen en het leveren van ondersteuning om hun kwaliteit van leven te verhogen.</w:t>
            </w:r>
          </w:p>
        </w:tc>
        <w:tc>
          <w:tcPr>
            <w:tcW w:w="616" w:type="dxa"/>
          </w:tcPr>
          <w:p w14:paraId="5F063369" w14:textId="77777777" w:rsidR="006E7F98" w:rsidRPr="007B0BF3" w:rsidRDefault="006E7F98" w:rsidP="00A655ED">
            <w:pPr>
              <w:rPr>
                <w:rFonts w:ascii="Times New Roman" w:hAnsi="Times New Roman" w:cs="Times New Roman"/>
                <w:color w:val="663300"/>
                <w:sz w:val="16"/>
                <w:szCs w:val="16"/>
                <w:lang w:val="en-GB"/>
              </w:rPr>
            </w:pPr>
            <w:r w:rsidRPr="007B0BF3">
              <w:rPr>
                <w:rFonts w:ascii="Times New Roman" w:hAnsi="Times New Roman" w:cs="Times New Roman"/>
                <w:color w:val="663300"/>
                <w:sz w:val="16"/>
                <w:szCs w:val="16"/>
                <w:lang w:val="nl"/>
              </w:rPr>
              <w:t>28, 29</w:t>
            </w:r>
          </w:p>
        </w:tc>
      </w:tr>
      <w:tr w:rsidR="00A655ED" w:rsidRPr="007B0BF3" w14:paraId="78697CF3" w14:textId="77777777" w:rsidTr="2C6C7817">
        <w:tc>
          <w:tcPr>
            <w:tcW w:w="2062" w:type="dxa"/>
          </w:tcPr>
          <w:p w14:paraId="1E6E5ADB" w14:textId="77777777" w:rsidR="00A655ED" w:rsidRPr="007B0BF3"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7B0BF3" w:rsidRDefault="00A655ED" w:rsidP="00A655ED">
            <w:pPr>
              <w:jc w:val="both"/>
              <w:rPr>
                <w:rFonts w:ascii="Times New Roman" w:hAnsi="Times New Roman" w:cs="Times New Roman"/>
                <w:lang w:val="en-GB"/>
              </w:rPr>
            </w:pPr>
          </w:p>
        </w:tc>
        <w:tc>
          <w:tcPr>
            <w:tcW w:w="5615" w:type="dxa"/>
          </w:tcPr>
          <w:p w14:paraId="4431CEFA" w14:textId="77777777" w:rsidR="00A655ED" w:rsidRPr="007B0BF3" w:rsidRDefault="00A655ED" w:rsidP="00A655ED">
            <w:pPr>
              <w:jc w:val="both"/>
              <w:rPr>
                <w:rFonts w:ascii="Times New Roman" w:hAnsi="Times New Roman" w:cs="Times New Roman"/>
                <w:lang w:val="en-GB"/>
              </w:rPr>
            </w:pPr>
          </w:p>
        </w:tc>
        <w:tc>
          <w:tcPr>
            <w:tcW w:w="616" w:type="dxa"/>
          </w:tcPr>
          <w:p w14:paraId="45DE3379" w14:textId="77777777" w:rsidR="00A655ED" w:rsidRPr="007B0BF3" w:rsidRDefault="00A655ED" w:rsidP="00A655ED">
            <w:pPr>
              <w:rPr>
                <w:rFonts w:ascii="Times New Roman" w:hAnsi="Times New Roman" w:cs="Times New Roman"/>
                <w:color w:val="663300"/>
                <w:sz w:val="16"/>
                <w:szCs w:val="16"/>
                <w:lang w:val="en-GB"/>
              </w:rPr>
            </w:pPr>
          </w:p>
        </w:tc>
      </w:tr>
    </w:tbl>
    <w:p w14:paraId="7B4FB9C5" w14:textId="77777777" w:rsidR="00AD6E49" w:rsidRPr="007B0BF3"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7B0BF3"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7B0BF3">
        <w:rPr>
          <w:rFonts w:ascii="Times New Roman" w:hAnsi="Times New Roman" w:cs="Times New Roman"/>
          <w:b/>
          <w:color w:val="3A7C22" w:themeColor="accent6" w:themeShade="BF"/>
          <w:sz w:val="24"/>
          <w:szCs w:val="24"/>
          <w:lang w:val="nl"/>
        </w:rPr>
        <w:t>Referenties:</w:t>
      </w:r>
    </w:p>
    <w:p w14:paraId="7A09F175" w14:textId="77777777" w:rsidR="00AD6E49" w:rsidRPr="007B0BF3"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7B0BF3"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The Nature-Based Solutions for Soil Management – NBSOIL EU Project, Glossary </w:t>
      </w:r>
      <w:r w:rsidR="0000609E" w:rsidRPr="007B0BF3">
        <w:rPr>
          <w:rFonts w:ascii="Times New Roman" w:hAnsi="Times New Roman" w:cs="Times New Roman"/>
          <w:color w:val="000000" w:themeColor="text1"/>
          <w:lang w:val="en-GB"/>
        </w:rPr>
        <w:t>available</w:t>
      </w:r>
      <w:r w:rsidRPr="007B0BF3">
        <w:rPr>
          <w:rFonts w:ascii="Times New Roman" w:hAnsi="Times New Roman" w:cs="Times New Roman"/>
          <w:color w:val="000000" w:themeColor="text1"/>
          <w:lang w:val="en-GB"/>
        </w:rPr>
        <w:t xml:space="preserve"> at: </w:t>
      </w:r>
      <w:hyperlink r:id="rId16" w:history="1">
        <w:r w:rsidRPr="007B0BF3">
          <w:rPr>
            <w:rStyle w:val="Hyperlink"/>
            <w:rFonts w:ascii="Times New Roman" w:hAnsi="Times New Roman" w:cs="Times New Roman"/>
            <w:color w:val="000000" w:themeColor="text1"/>
            <w:lang w:val="en-GB"/>
          </w:rPr>
          <w:t>https://nbsoil.eu/glossary/</w:t>
        </w:r>
      </w:hyperlink>
    </w:p>
    <w:p w14:paraId="71B25A89" w14:textId="0BECBFDB" w:rsidR="00AD6E49" w:rsidRPr="007B0BF3"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Soil Health Be</w:t>
      </w:r>
      <w:r w:rsidR="492994D7" w:rsidRPr="007B0BF3">
        <w:rPr>
          <w:rFonts w:ascii="Times New Roman" w:hAnsi="Times New Roman" w:cs="Times New Roman"/>
          <w:color w:val="000000" w:themeColor="text1"/>
          <w:lang w:val="en-GB"/>
        </w:rPr>
        <w:t>n</w:t>
      </w:r>
      <w:r w:rsidRPr="007B0BF3">
        <w:rPr>
          <w:rFonts w:ascii="Times New Roman" w:hAnsi="Times New Roman" w:cs="Times New Roman"/>
          <w:color w:val="000000" w:themeColor="text1"/>
          <w:lang w:val="en-GB"/>
        </w:rPr>
        <w:t xml:space="preserve">chmarks, EU Project 2022, Glossary available at: </w:t>
      </w:r>
      <w:hyperlink r:id="rId17">
        <w:r w:rsidRPr="007B0BF3">
          <w:rPr>
            <w:rStyle w:val="Hyperlink"/>
            <w:rFonts w:ascii="Times New Roman" w:hAnsi="Times New Roman" w:cs="Times New Roman"/>
            <w:color w:val="000000" w:themeColor="text1"/>
            <w:lang w:val="en-GB"/>
          </w:rPr>
          <w:t>https://soilhealthbenchmarks.eu/glossary/</w:t>
        </w:r>
      </w:hyperlink>
    </w:p>
    <w:p w14:paraId="62482883" w14:textId="074906C9" w:rsidR="00AD6E49" w:rsidRPr="007B0BF3"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SoilCare Project (2023) Glossary. Available at: </w:t>
      </w:r>
      <w:hyperlink r:id="rId18" w:history="1">
        <w:r w:rsidRPr="007B0BF3">
          <w:rPr>
            <w:rStyle w:val="Hyperlink"/>
            <w:rFonts w:ascii="Times New Roman" w:hAnsi="Times New Roman" w:cs="Times New Roman"/>
            <w:color w:val="000000" w:themeColor="text1"/>
            <w:lang w:val="en-GB"/>
          </w:rPr>
          <w:t>https://www.soilcare-project.eu/resources/glossary</w:t>
        </w:r>
      </w:hyperlink>
      <w:r w:rsidRPr="007B0BF3">
        <w:rPr>
          <w:rFonts w:ascii="Times New Roman" w:hAnsi="Times New Roman" w:cs="Times New Roman"/>
          <w:color w:val="000000" w:themeColor="text1"/>
          <w:lang w:val="en-GB"/>
        </w:rPr>
        <w:t xml:space="preserve"> (Accessed: 28 August 2024).</w:t>
      </w:r>
    </w:p>
    <w:p w14:paraId="0547156A" w14:textId="1488E471" w:rsidR="002834EC" w:rsidRPr="007B0BF3"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Landmark, EU Proje</w:t>
      </w:r>
      <w:r w:rsidR="00582A39" w:rsidRPr="007B0BF3">
        <w:rPr>
          <w:rFonts w:ascii="Times New Roman" w:hAnsi="Times New Roman" w:cs="Times New Roman"/>
          <w:color w:val="000000" w:themeColor="text1"/>
          <w:lang w:val="en-GB"/>
        </w:rPr>
        <w:t>c</w:t>
      </w:r>
      <w:r w:rsidRPr="007B0BF3">
        <w:rPr>
          <w:rFonts w:ascii="Times New Roman" w:hAnsi="Times New Roman" w:cs="Times New Roman"/>
          <w:color w:val="000000" w:themeColor="text1"/>
          <w:lang w:val="en-GB"/>
        </w:rPr>
        <w:t xml:space="preserve">t 2015, Glossary available at </w:t>
      </w:r>
      <w:hyperlink r:id="rId19" w:history="1">
        <w:r w:rsidRPr="007B0BF3">
          <w:rPr>
            <w:rStyle w:val="Hyperlink"/>
            <w:rFonts w:ascii="Times New Roman" w:hAnsi="Times New Roman" w:cs="Times New Roman"/>
            <w:color w:val="000000" w:themeColor="text1"/>
            <w:lang w:val="en-GB"/>
          </w:rPr>
          <w:t>https://landmarkproject.eu/landmark-glossary/#</w:t>
        </w:r>
      </w:hyperlink>
      <w:r w:rsidRPr="007B0BF3">
        <w:rPr>
          <w:rFonts w:ascii="Times New Roman" w:hAnsi="Times New Roman" w:cs="Times New Roman"/>
          <w:color w:val="000000" w:themeColor="text1"/>
          <w:lang w:val="en-GB"/>
        </w:rPr>
        <w:t xml:space="preserve"> (Accessed: 28 August 2024).</w:t>
      </w:r>
    </w:p>
    <w:p w14:paraId="130D4599" w14:textId="62B07926" w:rsidR="0021576C" w:rsidRPr="007B0BF3"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shd w:val="clear" w:color="auto" w:fill="FFFFFF"/>
          <w:lang w:val="en-GB"/>
        </w:rPr>
        <w:t xml:space="preserve">Huntley, B.J. (2023). Soil, Water and Nutrients. In: Ecology of Angola. Springer, Cham. </w:t>
      </w:r>
      <w:hyperlink r:id="rId20" w:history="1">
        <w:r w:rsidRPr="007B0BF3">
          <w:rPr>
            <w:rStyle w:val="Hyperlink"/>
            <w:rFonts w:ascii="Times New Roman" w:hAnsi="Times New Roman" w:cs="Times New Roman"/>
            <w:color w:val="000000" w:themeColor="text1"/>
            <w:shd w:val="clear" w:color="auto" w:fill="FFFFFF"/>
            <w:lang w:val="nl"/>
          </w:rPr>
          <w:t>https://doi.org/10.1007/978-3-031-18923-4_6</w:t>
        </w:r>
      </w:hyperlink>
      <w:r w:rsidRPr="007B0BF3">
        <w:rPr>
          <w:rFonts w:ascii="Times New Roman" w:hAnsi="Times New Roman" w:cs="Times New Roman"/>
          <w:color w:val="000000" w:themeColor="text1"/>
          <w:shd w:val="clear" w:color="auto" w:fill="FFFFFF"/>
          <w:lang w:val="nl"/>
        </w:rPr>
        <w:t xml:space="preserve"> (</w:t>
      </w:r>
      <w:hyperlink r:id="rId21" w:anchor="citeas" w:history="1">
        <w:r w:rsidRPr="007B0BF3">
          <w:rPr>
            <w:rStyle w:val="Hyperlink"/>
            <w:rFonts w:ascii="Times New Roman" w:hAnsi="Times New Roman" w:cs="Times New Roman"/>
            <w:color w:val="000000" w:themeColor="text1"/>
            <w:shd w:val="clear" w:color="auto" w:fill="FFFFFF"/>
            <w:lang w:val="nl"/>
          </w:rPr>
          <w:t>https://link.springer.com/chapter/10.1007/978-3-031-18923-4_6#citeas</w:t>
        </w:r>
      </w:hyperlink>
      <w:r w:rsidRPr="007B0BF3">
        <w:rPr>
          <w:rFonts w:ascii="Times New Roman" w:hAnsi="Times New Roman" w:cs="Times New Roman"/>
          <w:color w:val="000000" w:themeColor="text1"/>
          <w:shd w:val="clear" w:color="auto" w:fill="FFFFFF"/>
          <w:lang w:val="nl"/>
        </w:rPr>
        <w:t>)</w:t>
      </w:r>
    </w:p>
    <w:p w14:paraId="7F33B9FF" w14:textId="77777777" w:rsidR="003B4948" w:rsidRPr="007B0BF3"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Radziuk, H</w:t>
      </w:r>
      <w:r w:rsidR="005A766D" w:rsidRPr="007B0BF3">
        <w:rPr>
          <w:rFonts w:ascii="Times New Roman" w:hAnsi="Times New Roman" w:cs="Times New Roman"/>
          <w:color w:val="000000" w:themeColor="text1"/>
          <w:lang w:val="en-GB"/>
        </w:rPr>
        <w:t>.</w:t>
      </w:r>
      <w:r w:rsidRPr="007B0BF3">
        <w:rPr>
          <w:rFonts w:ascii="Times New Roman" w:hAnsi="Times New Roman" w:cs="Times New Roman"/>
          <w:color w:val="000000" w:themeColor="text1"/>
          <w:lang w:val="en-GB"/>
        </w:rPr>
        <w:t>, Świtoniak.</w:t>
      </w:r>
      <w:r w:rsidR="005A766D" w:rsidRPr="007B0BF3">
        <w:rPr>
          <w:rFonts w:ascii="Times New Roman" w:hAnsi="Times New Roman" w:cs="Times New Roman"/>
          <w:color w:val="000000" w:themeColor="text1"/>
          <w:lang w:val="en-GB"/>
        </w:rPr>
        <w:t xml:space="preserve"> M. (</w:t>
      </w:r>
      <w:r w:rsidRPr="007B0BF3">
        <w:rPr>
          <w:rFonts w:ascii="Times New Roman" w:hAnsi="Times New Roman" w:cs="Times New Roman"/>
          <w:color w:val="000000" w:themeColor="text1"/>
          <w:lang w:val="en-GB"/>
        </w:rPr>
        <w:t>2022</w:t>
      </w:r>
      <w:r w:rsidR="005A766D" w:rsidRPr="007B0BF3">
        <w:rPr>
          <w:rFonts w:ascii="Times New Roman" w:hAnsi="Times New Roman" w:cs="Times New Roman"/>
          <w:color w:val="000000" w:themeColor="text1"/>
          <w:lang w:val="en-GB"/>
        </w:rPr>
        <w:t>)</w:t>
      </w:r>
      <w:r w:rsidRPr="007B0BF3">
        <w:rPr>
          <w:rFonts w:ascii="Times New Roman" w:hAnsi="Times New Roman" w:cs="Times New Roman"/>
          <w:color w:val="000000" w:themeColor="text1"/>
          <w:lang w:val="en-GB"/>
        </w:rPr>
        <w:t>. The Effect of Erosional Transformation of Soil Cover on the Stability of Soil Aggregates within Young Hummocky Moraine Landscapes in Northern Poland</w:t>
      </w:r>
      <w:r w:rsidR="005A766D" w:rsidRPr="007B0BF3">
        <w:rPr>
          <w:rFonts w:ascii="Times New Roman" w:hAnsi="Times New Roman" w:cs="Times New Roman"/>
          <w:color w:val="000000" w:themeColor="text1"/>
          <w:lang w:val="en-GB"/>
        </w:rPr>
        <w:t>.</w:t>
      </w:r>
      <w:r w:rsidRPr="007B0BF3">
        <w:rPr>
          <w:rFonts w:ascii="Times New Roman" w:hAnsi="Times New Roman" w:cs="Times New Roman"/>
          <w:color w:val="000000" w:themeColor="text1"/>
          <w:lang w:val="en-GB"/>
        </w:rPr>
        <w:t xml:space="preserve"> </w:t>
      </w:r>
      <w:r w:rsidRPr="007B0BF3">
        <w:rPr>
          <w:rFonts w:ascii="Times New Roman" w:hAnsi="Times New Roman" w:cs="Times New Roman"/>
          <w:color w:val="000000" w:themeColor="text1"/>
          <w:lang w:val="nl"/>
        </w:rPr>
        <w:t xml:space="preserve">Agronomy 12, no. 11: 2595. </w:t>
      </w:r>
      <w:hyperlink r:id="rId22" w:history="1">
        <w:r w:rsidR="005A766D" w:rsidRPr="007B0BF3">
          <w:rPr>
            <w:rStyle w:val="Hyperlink"/>
            <w:rFonts w:ascii="Times New Roman" w:hAnsi="Times New Roman" w:cs="Times New Roman"/>
            <w:color w:val="000000" w:themeColor="text1"/>
            <w:lang w:val="nl"/>
          </w:rPr>
          <w:t>https://doi.org/10.3390/agronomy12112595</w:t>
        </w:r>
      </w:hyperlink>
      <w:r w:rsidR="00767523" w:rsidRPr="007B0BF3">
        <w:rPr>
          <w:rFonts w:ascii="Times New Roman" w:hAnsi="Times New Roman" w:cs="Times New Roman"/>
          <w:color w:val="000000" w:themeColor="text1"/>
          <w:lang w:val="nl"/>
        </w:rPr>
        <w:t>.</w:t>
      </w:r>
    </w:p>
    <w:p w14:paraId="7E736D69" w14:textId="1FB53DF2" w:rsidR="00767523" w:rsidRPr="007B0BF3"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Hoorman, J., Reeder, R., Sundermeier, A., Islam R., Aziz, I., </w:t>
      </w:r>
      <w:r w:rsidR="001A43DB" w:rsidRPr="007B0BF3">
        <w:rPr>
          <w:rFonts w:ascii="Times New Roman" w:hAnsi="Times New Roman" w:cs="Times New Roman"/>
          <w:color w:val="000000" w:themeColor="text1"/>
          <w:lang w:val="en-GB"/>
        </w:rPr>
        <w:t xml:space="preserve">(2012). </w:t>
      </w:r>
      <w:r w:rsidRPr="007B0BF3">
        <w:rPr>
          <w:rFonts w:ascii="Times New Roman" w:hAnsi="Times New Roman" w:cs="Times New Roman"/>
          <w:color w:val="000000" w:themeColor="text1"/>
          <w:lang w:val="en-GB"/>
        </w:rPr>
        <w:t>Soil Terminology and Definitions, Ohio State University</w:t>
      </w:r>
      <w:r w:rsidR="001A43DB" w:rsidRPr="007B0BF3">
        <w:rPr>
          <w:rFonts w:ascii="Times New Roman" w:hAnsi="Times New Roman" w:cs="Times New Roman"/>
          <w:color w:val="000000" w:themeColor="text1"/>
          <w:lang w:val="en-GB"/>
        </w:rPr>
        <w:t xml:space="preserve"> extension</w:t>
      </w:r>
      <w:r w:rsidRPr="007B0BF3">
        <w:rPr>
          <w:rFonts w:ascii="Times New Roman" w:hAnsi="Times New Roman" w:cs="Times New Roman"/>
          <w:color w:val="000000" w:themeColor="text1"/>
          <w:lang w:val="en-GB"/>
        </w:rPr>
        <w:t xml:space="preserve">. </w:t>
      </w:r>
      <w:hyperlink r:id="rId23" w:history="1">
        <w:r w:rsidR="001A43DB" w:rsidRPr="007B0BF3">
          <w:rPr>
            <w:rStyle w:val="Hyperlink"/>
            <w:rFonts w:ascii="Times New Roman" w:hAnsi="Times New Roman" w:cs="Times New Roman"/>
            <w:lang w:val="nl"/>
          </w:rPr>
          <w:t>https://ohioline.osu.edu/factsheet/SAG-19</w:t>
        </w:r>
      </w:hyperlink>
      <w:r w:rsidR="001A43DB" w:rsidRPr="007B0BF3">
        <w:rPr>
          <w:rFonts w:ascii="Times New Roman" w:hAnsi="Times New Roman" w:cs="Times New Roman"/>
          <w:color w:val="000000" w:themeColor="text1"/>
          <w:lang w:val="nl"/>
        </w:rPr>
        <w:t xml:space="preserve"> (Acces</w:t>
      </w:r>
      <w:r w:rsidR="0000609E" w:rsidRPr="007B0BF3">
        <w:rPr>
          <w:rFonts w:ascii="Times New Roman" w:hAnsi="Times New Roman" w:cs="Times New Roman"/>
          <w:color w:val="000000" w:themeColor="text1"/>
          <w:lang w:val="nl"/>
        </w:rPr>
        <w:t>s</w:t>
      </w:r>
      <w:r w:rsidR="001A43DB" w:rsidRPr="007B0BF3">
        <w:rPr>
          <w:rFonts w:ascii="Times New Roman" w:hAnsi="Times New Roman" w:cs="Times New Roman"/>
          <w:color w:val="000000" w:themeColor="text1"/>
          <w:lang w:val="nl"/>
        </w:rPr>
        <w:t>ed: 29 august 2024)</w:t>
      </w:r>
    </w:p>
    <w:p w14:paraId="2D394610" w14:textId="77777777" w:rsidR="003B4948" w:rsidRPr="007B0BF3"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7B0BF3">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7B0BF3"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7B0BF3">
        <w:rPr>
          <w:rFonts w:ascii="Times New Roman" w:hAnsi="Times New Roman" w:cs="Times New Roman"/>
          <w:color w:val="000000" w:themeColor="text1"/>
          <w:lang w:val="nl"/>
        </w:rPr>
        <w:t>Hannover, Landesamt für Bergbau, Energie und Geologie.</w:t>
      </w:r>
    </w:p>
    <w:p w14:paraId="3628C2EE" w14:textId="77777777" w:rsidR="003B4948" w:rsidRPr="007B0BF3"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7B0BF3">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7B0BF3"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European Coordination Via Campesina (2016). </w:t>
      </w:r>
      <w:r w:rsidRPr="007B0BF3">
        <w:rPr>
          <w:rFonts w:ascii="Times New Roman" w:hAnsi="Times New Roman" w:cs="Times New Roman"/>
          <w:lang w:val="en-GB"/>
        </w:rPr>
        <w:t>How do we define Land Grabbing?</w:t>
      </w:r>
      <w:r w:rsidRPr="007B0BF3">
        <w:rPr>
          <w:rFonts w:ascii="Times New Roman" w:hAnsi="Times New Roman" w:cs="Times New Roman"/>
          <w:color w:val="000000" w:themeColor="text1"/>
          <w:lang w:val="en-GB"/>
        </w:rPr>
        <w:t xml:space="preserve"> </w:t>
      </w:r>
      <w:hyperlink r:id="rId24" w:history="1">
        <w:r w:rsidRPr="007B0BF3">
          <w:rPr>
            <w:rStyle w:val="Hyperlink"/>
            <w:rFonts w:ascii="Times New Roman" w:hAnsi="Times New Roman" w:cs="Times New Roman"/>
            <w:lang w:val="en-GB"/>
          </w:rPr>
          <w:t>https://www.eurovia.org/wp-content/uploads/2016/11/defining-land-grabs.pdf</w:t>
        </w:r>
      </w:hyperlink>
      <w:r w:rsidRPr="007B0BF3">
        <w:rPr>
          <w:rFonts w:ascii="Times New Roman" w:hAnsi="Times New Roman" w:cs="Times New Roman"/>
          <w:color w:val="000000" w:themeColor="text1"/>
          <w:lang w:val="en-GB"/>
        </w:rPr>
        <w:t xml:space="preserve"> </w:t>
      </w:r>
      <w:bookmarkStart w:id="3" w:name="_Hlk180704550"/>
      <w:r w:rsidRPr="007B0BF3">
        <w:rPr>
          <w:rFonts w:ascii="Times New Roman" w:hAnsi="Times New Roman" w:cs="Times New Roman"/>
          <w:color w:val="000000" w:themeColor="text1"/>
          <w:lang w:val="en-GB"/>
        </w:rPr>
        <w:t>(Acces</w:t>
      </w:r>
      <w:r w:rsidR="0000609E" w:rsidRPr="007B0BF3">
        <w:rPr>
          <w:rFonts w:ascii="Times New Roman" w:hAnsi="Times New Roman" w:cs="Times New Roman"/>
          <w:color w:val="000000" w:themeColor="text1"/>
          <w:lang w:val="en-GB"/>
        </w:rPr>
        <w:t>s</w:t>
      </w:r>
      <w:r w:rsidRPr="007B0BF3">
        <w:rPr>
          <w:rFonts w:ascii="Times New Roman" w:hAnsi="Times New Roman" w:cs="Times New Roman"/>
          <w:color w:val="000000" w:themeColor="text1"/>
          <w:lang w:val="en-GB"/>
        </w:rPr>
        <w:t>ed:</w:t>
      </w:r>
      <w:r w:rsidR="00262263" w:rsidRPr="007B0BF3">
        <w:rPr>
          <w:rFonts w:ascii="Times New Roman" w:hAnsi="Times New Roman" w:cs="Times New Roman"/>
          <w:color w:val="000000" w:themeColor="text1"/>
          <w:lang w:val="en-GB"/>
        </w:rPr>
        <w:t xml:space="preserve"> </w:t>
      </w:r>
      <w:r w:rsidRPr="007B0BF3">
        <w:rPr>
          <w:rFonts w:ascii="Times New Roman" w:hAnsi="Times New Roman" w:cs="Times New Roman"/>
          <w:color w:val="000000" w:themeColor="text1"/>
          <w:lang w:val="en-GB"/>
        </w:rPr>
        <w:t>6.10.2024)</w:t>
      </w:r>
      <w:bookmarkEnd w:id="3"/>
    </w:p>
    <w:p w14:paraId="083A7C4A" w14:textId="18ECFB56" w:rsidR="006D24D6" w:rsidRPr="007B0BF3"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Kopittke, P. M., Minasny, B., Pendall, E., Rumpel, C., &amp; McKenna, B. A. (2023). Healthy soil for healthy humans and a healthy planet. Critical Reviews in Environmental Science and Technology, 54(3), 210–221. </w:t>
      </w:r>
      <w:hyperlink r:id="rId25" w:history="1">
        <w:r w:rsidRPr="007B0BF3">
          <w:rPr>
            <w:rStyle w:val="Hyperlink"/>
            <w:rFonts w:ascii="Times New Roman" w:hAnsi="Times New Roman" w:cs="Times New Roman"/>
            <w:lang w:val="nl"/>
          </w:rPr>
          <w:t>https://doi.org/10.1080/10643389.2023.2228651</w:t>
        </w:r>
      </w:hyperlink>
      <w:r w:rsidRPr="007B0BF3">
        <w:rPr>
          <w:rFonts w:ascii="Times New Roman" w:hAnsi="Times New Roman" w:cs="Times New Roman"/>
          <w:color w:val="000000" w:themeColor="text1"/>
          <w:lang w:val="nl"/>
        </w:rPr>
        <w:t>.</w:t>
      </w:r>
    </w:p>
    <w:p w14:paraId="46BEDADB" w14:textId="3F3CC20B" w:rsidR="00E03E8D" w:rsidRPr="007B0BF3"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NSRI Staff (2011). Glossary of Soil-Related Terms. </w:t>
      </w:r>
      <w:r w:rsidRPr="007B0BF3">
        <w:rPr>
          <w:rFonts w:ascii="Times New Roman" w:hAnsi="Times New Roman" w:cs="Times New Roman"/>
          <w:color w:val="000000" w:themeColor="text1"/>
          <w:lang w:val="nl"/>
        </w:rPr>
        <w:t>9pp. NSRI, Cranfield University, UK,</w:t>
      </w:r>
      <w:r w:rsidRPr="007B0BF3">
        <w:rPr>
          <w:lang w:val="nl"/>
        </w:rPr>
        <w:t xml:space="preserve"> </w:t>
      </w:r>
      <w:hyperlink r:id="rId26" w:history="1">
        <w:r w:rsidRPr="007B0BF3">
          <w:rPr>
            <w:rStyle w:val="Hyperlink"/>
            <w:rFonts w:ascii="Times New Roman" w:hAnsi="Times New Roman" w:cs="Times New Roman"/>
            <w:lang w:val="nl"/>
          </w:rPr>
          <w:t>https://www.landis.org.uk/downloads/downloads/Glossary.pdf</w:t>
        </w:r>
      </w:hyperlink>
    </w:p>
    <w:p w14:paraId="22DED156" w14:textId="77777777" w:rsidR="00DD73DC" w:rsidRPr="007B0BF3"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da-DK"/>
        </w:rPr>
        <w:t xml:space="preserve">Reiff, J., Jungkunst, H.F., Mauser, K.M. et al. </w:t>
      </w:r>
      <w:r w:rsidRPr="007B0BF3">
        <w:rPr>
          <w:rFonts w:ascii="Times New Roman" w:hAnsi="Times New Roman" w:cs="Times New Roman"/>
          <w:color w:val="000000" w:themeColor="text1"/>
          <w:lang w:val="en-GB"/>
        </w:rPr>
        <w:t xml:space="preserve">(2024). Permaculture enhances carbon stocks, soil quality and biodiversity in Central Europe. </w:t>
      </w:r>
      <w:r w:rsidRPr="007B0BF3">
        <w:rPr>
          <w:rFonts w:ascii="Times New Roman" w:hAnsi="Times New Roman" w:cs="Times New Roman"/>
          <w:color w:val="000000" w:themeColor="text1"/>
          <w:lang w:val="nl"/>
        </w:rPr>
        <w:t xml:space="preserve">Commun Earth Environ 5, 305. </w:t>
      </w:r>
      <w:hyperlink r:id="rId27" w:history="1">
        <w:r w:rsidRPr="007B0BF3">
          <w:rPr>
            <w:rStyle w:val="Hyperlink"/>
            <w:rFonts w:ascii="Times New Roman" w:hAnsi="Times New Roman" w:cs="Times New Roman"/>
            <w:lang w:val="nl"/>
          </w:rPr>
          <w:t>https://doi.org/10.1038/s43247-024-01405-8</w:t>
        </w:r>
      </w:hyperlink>
      <w:r w:rsidRPr="007B0BF3">
        <w:rPr>
          <w:rFonts w:ascii="Times New Roman" w:hAnsi="Times New Roman" w:cs="Times New Roman"/>
          <w:color w:val="000000" w:themeColor="text1"/>
          <w:lang w:val="nl"/>
        </w:rPr>
        <w:t xml:space="preserve">. </w:t>
      </w:r>
    </w:p>
    <w:p w14:paraId="5911988C" w14:textId="5672D5D4" w:rsidR="003F1C18" w:rsidRPr="007B0BF3"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pl-PL"/>
        </w:rPr>
        <w:t xml:space="preserve">Bednarek, R., Skiba, S. (2015). Czynniki i procesy glebotwórcze. </w:t>
      </w:r>
      <w:r w:rsidRPr="007B0BF3">
        <w:rPr>
          <w:rFonts w:ascii="Times New Roman" w:hAnsi="Times New Roman" w:cs="Times New Roman"/>
          <w:color w:val="000000" w:themeColor="text1"/>
          <w:lang w:val="nl"/>
        </w:rPr>
        <w:t>Chapt 3 in: Mocek A. (Ed). Gleboznawstwo. PWN, Warszawa, Poland.</w:t>
      </w:r>
    </w:p>
    <w:p w14:paraId="13161791" w14:textId="77777777" w:rsidR="002A67F8" w:rsidRPr="007B0BF3"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W.E.H. Blum, W.E.H., Schad, P., Nortcliff, S. (2018). Essentials of soil science. </w:t>
      </w:r>
      <w:r w:rsidRPr="007B0BF3">
        <w:rPr>
          <w:rFonts w:ascii="Times New Roman" w:hAnsi="Times New Roman" w:cs="Times New Roman"/>
          <w:color w:val="000000" w:themeColor="text1"/>
          <w:lang w:val="nl"/>
        </w:rPr>
        <w:t>Borntraeger Science Publishers, Stuttgart.</w:t>
      </w:r>
    </w:p>
    <w:p w14:paraId="5192CDF2" w14:textId="10D24064" w:rsidR="00AE11B5" w:rsidRPr="007B0BF3"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pl-PL"/>
        </w:rPr>
        <w:t xml:space="preserve">Kocira, A., Staniak, M., Tomaszewska, M., Kornas, R., Cymerman, J., Panasiewicz, K., &amp; Lipińska, H. (2020). </w:t>
      </w:r>
      <w:r w:rsidRPr="007B0BF3">
        <w:rPr>
          <w:rFonts w:ascii="Times New Roman" w:hAnsi="Times New Roman" w:cs="Times New Roman"/>
          <w:color w:val="000000" w:themeColor="text1"/>
          <w:lang w:val="en-GB"/>
        </w:rPr>
        <w:t xml:space="preserve">Legume Cover Crops as One of the Elements of Strategic Weed Management and Soil Quality Improvement. </w:t>
      </w:r>
      <w:r w:rsidRPr="007B0BF3">
        <w:rPr>
          <w:rFonts w:ascii="Times New Roman" w:hAnsi="Times New Roman" w:cs="Times New Roman"/>
          <w:color w:val="000000" w:themeColor="text1"/>
          <w:lang w:val="nl"/>
        </w:rPr>
        <w:t>A Review. Agriculture. DOI:</w:t>
      </w:r>
      <w:r w:rsidRPr="007B0BF3">
        <w:rPr>
          <w:lang w:val="nl"/>
        </w:rPr>
        <w:t xml:space="preserve"> </w:t>
      </w:r>
      <w:hyperlink r:id="rId28" w:history="1">
        <w:r w:rsidRPr="007B0BF3">
          <w:rPr>
            <w:rStyle w:val="Hyperlink"/>
            <w:rFonts w:ascii="Times New Roman" w:hAnsi="Times New Roman" w:cs="Times New Roman"/>
            <w:lang w:val="nl"/>
          </w:rPr>
          <w:t>https://doi.org/10.3390/agriculture10090394</w:t>
        </w:r>
      </w:hyperlink>
      <w:r w:rsidRPr="007B0BF3">
        <w:rPr>
          <w:rFonts w:ascii="Times New Roman" w:hAnsi="Times New Roman" w:cs="Times New Roman"/>
          <w:color w:val="000000" w:themeColor="text1"/>
          <w:lang w:val="nl"/>
        </w:rPr>
        <w:t>.</w:t>
      </w:r>
    </w:p>
    <w:p w14:paraId="07F3A691" w14:textId="0E81F9B7" w:rsidR="00AE11B5" w:rsidRPr="007B0BF3"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Sharma, P., Singh, A., Kahlon, C.S., Brar, A.S., Grover, K., Dia, M., &amp; Steiner, R.L. (2018). The Role of Cover Crops towards Sustainable Soil Health and Agriculture—A Review Paper. American Journal of Plant Sciences, 09, 1935-1951. DOI: </w:t>
      </w:r>
      <w:hyperlink r:id="rId29" w:history="1">
        <w:r w:rsidRPr="007B0BF3">
          <w:rPr>
            <w:rStyle w:val="Hyperlink"/>
            <w:rFonts w:ascii="Times New Roman" w:hAnsi="Times New Roman" w:cs="Times New Roman"/>
            <w:lang w:val="en-GB"/>
          </w:rPr>
          <w:t>https://doi.org/10.4236/AJPS.2018.99140</w:t>
        </w:r>
      </w:hyperlink>
      <w:r w:rsidRPr="007B0BF3">
        <w:rPr>
          <w:rFonts w:ascii="Times New Roman" w:hAnsi="Times New Roman" w:cs="Times New Roman"/>
          <w:color w:val="000000" w:themeColor="text1"/>
          <w:lang w:val="en-GB"/>
        </w:rPr>
        <w:t>.</w:t>
      </w:r>
    </w:p>
    <w:p w14:paraId="2949C080" w14:textId="77777777" w:rsidR="00B54C32" w:rsidRPr="007B0BF3"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lastRenderedPageBreak/>
        <w:t>Molles, M. C. (2016). Ecology: concepts and applications. Seventh edition. New York, NY, McGraw-Hill Education.</w:t>
      </w:r>
    </w:p>
    <w:p w14:paraId="0D6AAE58" w14:textId="77777777" w:rsidR="00A561D2" w:rsidRPr="007B0BF3"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Cunningham, W.P., and Cunningham</w:t>
      </w:r>
      <w:r w:rsidR="00B54C32" w:rsidRPr="007B0BF3">
        <w:rPr>
          <w:rFonts w:ascii="Times New Roman" w:hAnsi="Times New Roman" w:cs="Times New Roman"/>
          <w:color w:val="000000" w:themeColor="text1"/>
          <w:lang w:val="en-GB"/>
        </w:rPr>
        <w:t>, M.A. (2002).</w:t>
      </w:r>
      <w:r w:rsidRPr="007B0BF3">
        <w:rPr>
          <w:rFonts w:ascii="Times New Roman" w:hAnsi="Times New Roman" w:cs="Times New Roman"/>
          <w:color w:val="000000" w:themeColor="text1"/>
          <w:lang w:val="en-GB"/>
        </w:rPr>
        <w:t xml:space="preserve"> Principles of Environmental Science: Inquiry and Applications. </w:t>
      </w:r>
      <w:r w:rsidRPr="007B0BF3">
        <w:rPr>
          <w:rFonts w:ascii="Times New Roman" w:hAnsi="Times New Roman" w:cs="Times New Roman"/>
          <w:color w:val="000000" w:themeColor="text1"/>
          <w:lang w:val="nl"/>
        </w:rPr>
        <w:t>McGraw-Hill.</w:t>
      </w:r>
    </w:p>
    <w:p w14:paraId="50AF1027" w14:textId="0CA233CB" w:rsidR="00B54C32" w:rsidRPr="007B0BF3"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semi‐natural grasslands in Western and Central Europe. </w:t>
      </w:r>
      <w:r w:rsidRPr="007B0BF3">
        <w:rPr>
          <w:rFonts w:ascii="Times New Roman" w:hAnsi="Times New Roman" w:cs="Times New Roman"/>
          <w:color w:val="000000" w:themeColor="text1"/>
          <w:lang w:val="nl"/>
        </w:rPr>
        <w:t>Journal of Vegetation Science, 30, 187–202.</w:t>
      </w:r>
      <w:r w:rsidR="0000122B" w:rsidRPr="007B0BF3">
        <w:rPr>
          <w:rFonts w:ascii="Times New Roman" w:hAnsi="Times New Roman" w:cs="Times New Roman"/>
          <w:color w:val="000000" w:themeColor="text1"/>
          <w:lang w:val="nl"/>
        </w:rPr>
        <w:t xml:space="preserve"> DOI:</w:t>
      </w:r>
      <w:r w:rsidR="0000122B" w:rsidRPr="007B0BF3">
        <w:rPr>
          <w:rFonts w:ascii="Times New Roman" w:hAnsi="Times New Roman" w:cs="Times New Roman"/>
          <w:lang w:val="nl"/>
        </w:rPr>
        <w:t xml:space="preserve"> </w:t>
      </w:r>
      <w:hyperlink r:id="rId30" w:history="1">
        <w:r w:rsidR="0000122B" w:rsidRPr="007B0BF3">
          <w:rPr>
            <w:rStyle w:val="Hyperlink"/>
            <w:rFonts w:ascii="Times New Roman" w:hAnsi="Times New Roman" w:cs="Times New Roman"/>
            <w:lang w:val="nl"/>
          </w:rPr>
          <w:t>https://doi.org/10.1111/jvs.12727</w:t>
        </w:r>
      </w:hyperlink>
      <w:r w:rsidR="0000122B" w:rsidRPr="007B0BF3">
        <w:rPr>
          <w:rFonts w:ascii="Times New Roman" w:hAnsi="Times New Roman" w:cs="Times New Roman"/>
          <w:color w:val="000000" w:themeColor="text1"/>
          <w:lang w:val="nl"/>
        </w:rPr>
        <w:t>.</w:t>
      </w:r>
    </w:p>
    <w:p w14:paraId="670B8C1F" w14:textId="45A9A240" w:rsidR="0000122B" w:rsidRPr="007B0BF3"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Medina-Álvarez, E., and Sánchez-Medina, P.S. (2023). Types of organizational culture and sustainability in ecotourism businesses in southern Mexico. Journal of Economics, Finance and Administrative Science. DOI: </w:t>
      </w:r>
      <w:hyperlink r:id="rId31" w:history="1">
        <w:r w:rsidRPr="007B0BF3">
          <w:rPr>
            <w:rStyle w:val="Hyperlink"/>
            <w:rFonts w:ascii="Times New Roman" w:hAnsi="Times New Roman" w:cs="Times New Roman"/>
            <w:lang w:val="en-GB"/>
          </w:rPr>
          <w:t>https://doi.org/10.1108/jefas-12-2021-0267</w:t>
        </w:r>
      </w:hyperlink>
      <w:r w:rsidRPr="007B0BF3">
        <w:rPr>
          <w:rFonts w:ascii="Times New Roman" w:hAnsi="Times New Roman" w:cs="Times New Roman"/>
          <w:color w:val="000000" w:themeColor="text1"/>
          <w:lang w:val="en-GB"/>
        </w:rPr>
        <w:t>.</w:t>
      </w:r>
    </w:p>
    <w:p w14:paraId="410B66F1" w14:textId="17C2513C" w:rsidR="00D33ED2" w:rsidRPr="007B0BF3"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Johnson, K.L., Stone, W., Dominelli, L., Chivasa, S., Clarke, C.E., Gwandu, T., &amp; Appleby, J. (2023). Boosting soil literacy in schools can help improve understanding of soil/human health linkages in Generation Z. Frontiers in Environmental Science, vol. 10, 1-12. </w:t>
      </w:r>
      <w:r w:rsidRPr="007B0BF3">
        <w:rPr>
          <w:rFonts w:ascii="Times New Roman" w:hAnsi="Times New Roman" w:cs="Times New Roman"/>
          <w:color w:val="000000" w:themeColor="text1"/>
          <w:lang w:val="nl"/>
        </w:rPr>
        <w:t xml:space="preserve">DOI: </w:t>
      </w:r>
      <w:hyperlink r:id="rId32" w:history="1">
        <w:r w:rsidRPr="007B0BF3">
          <w:rPr>
            <w:rStyle w:val="Hyperlink"/>
            <w:rFonts w:ascii="Times New Roman" w:hAnsi="Times New Roman" w:cs="Times New Roman"/>
            <w:lang w:val="nl"/>
          </w:rPr>
          <w:t>https://doi.org/10.3389/fenvs.2022.1028839</w:t>
        </w:r>
      </w:hyperlink>
      <w:r w:rsidRPr="007B0BF3">
        <w:rPr>
          <w:rFonts w:ascii="Times New Roman" w:hAnsi="Times New Roman" w:cs="Times New Roman"/>
          <w:color w:val="000000" w:themeColor="text1"/>
          <w:lang w:val="nl"/>
        </w:rPr>
        <w:t>.</w:t>
      </w:r>
    </w:p>
    <w:p w14:paraId="6D78F1AE" w14:textId="77777777" w:rsidR="00CB0D6C" w:rsidRPr="007B0BF3"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Levy, R. (2023). Home–school communication: what we have learned from the pandemic. </w:t>
      </w:r>
      <w:r w:rsidRPr="007B0BF3">
        <w:rPr>
          <w:rFonts w:ascii="Times New Roman" w:hAnsi="Times New Roman" w:cs="Times New Roman"/>
          <w:color w:val="000000" w:themeColor="text1"/>
          <w:lang w:val="nl"/>
        </w:rPr>
        <w:t xml:space="preserve">Education 3-13, 52(1), 21–32. </w:t>
      </w:r>
      <w:hyperlink r:id="rId33" w:history="1">
        <w:r w:rsidR="006F7FFC" w:rsidRPr="007B0BF3">
          <w:rPr>
            <w:rStyle w:val="Hyperlink"/>
            <w:rFonts w:ascii="Times New Roman" w:hAnsi="Times New Roman" w:cs="Times New Roman"/>
            <w:lang w:val="nl"/>
          </w:rPr>
          <w:t>https://doi.org/10.1080/03004279.2023.2186972</w:t>
        </w:r>
      </w:hyperlink>
    </w:p>
    <w:p w14:paraId="53DCA103" w14:textId="3172D9E0" w:rsidR="006F7FFC" w:rsidRPr="007B0BF3"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Social and Behaviour Change Communication</w:t>
      </w:r>
      <w:r w:rsidR="002841B1" w:rsidRPr="007B0BF3">
        <w:rPr>
          <w:rFonts w:ascii="Times New Roman" w:hAnsi="Times New Roman" w:cs="Times New Roman"/>
          <w:color w:val="000000" w:themeColor="text1"/>
          <w:lang w:val="en-GB"/>
        </w:rPr>
        <w:t xml:space="preserve"> (UNICEF). Designing holistic and data-driven communications to enable change. </w:t>
      </w:r>
      <w:hyperlink r:id="rId34" w:history="1">
        <w:r w:rsidR="002841B1" w:rsidRPr="007B0BF3">
          <w:rPr>
            <w:rStyle w:val="Hyperlink"/>
            <w:rFonts w:ascii="Times New Roman" w:hAnsi="Times New Roman" w:cs="Times New Roman"/>
            <w:lang w:val="en-GB"/>
          </w:rPr>
          <w:t>https://www.sbcguidance.org/understand/social-and-behaviour-change-communication</w:t>
        </w:r>
      </w:hyperlink>
      <w:r w:rsidR="002841B1" w:rsidRPr="007B0BF3">
        <w:rPr>
          <w:rFonts w:ascii="Times New Roman" w:hAnsi="Times New Roman" w:cs="Times New Roman"/>
          <w:color w:val="000000" w:themeColor="text1"/>
          <w:lang w:val="en-GB"/>
        </w:rPr>
        <w:t xml:space="preserve"> (Acce</w:t>
      </w:r>
      <w:r w:rsidR="0000609E" w:rsidRPr="007B0BF3">
        <w:rPr>
          <w:rFonts w:ascii="Times New Roman" w:hAnsi="Times New Roman" w:cs="Times New Roman"/>
          <w:color w:val="000000" w:themeColor="text1"/>
          <w:lang w:val="en-GB"/>
        </w:rPr>
        <w:t>s</w:t>
      </w:r>
      <w:r w:rsidR="002841B1" w:rsidRPr="007B0BF3">
        <w:rPr>
          <w:rFonts w:ascii="Times New Roman" w:hAnsi="Times New Roman" w:cs="Times New Roman"/>
          <w:color w:val="000000" w:themeColor="text1"/>
          <w:lang w:val="en-GB"/>
        </w:rPr>
        <w:t>sed: 23.10.2024)</w:t>
      </w:r>
    </w:p>
    <w:p w14:paraId="5219D338" w14:textId="7C3FC629" w:rsidR="002841B1" w:rsidRPr="007B0BF3"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Crawfoord, J. (2021).</w:t>
      </w:r>
      <w:r w:rsidRPr="007B0BF3">
        <w:rPr>
          <w:rFonts w:ascii="Times New Roman" w:hAnsi="Times New Roman" w:cs="Times New Roman"/>
          <w:lang w:val="en-GB"/>
        </w:rPr>
        <w:t xml:space="preserve"> </w:t>
      </w:r>
      <w:r w:rsidR="00AD37EC" w:rsidRPr="007B0BF3">
        <w:rPr>
          <w:rFonts w:ascii="Times New Roman" w:hAnsi="Times New Roman" w:cs="Times New Roman"/>
          <w:lang w:val="en-GB"/>
        </w:rPr>
        <w:t>1</w:t>
      </w:r>
      <w:r w:rsidRPr="007B0BF3">
        <w:rPr>
          <w:rFonts w:ascii="Times New Roman" w:hAnsi="Times New Roman" w:cs="Times New Roman"/>
          <w:color w:val="000000" w:themeColor="text1"/>
          <w:lang w:val="en-GB"/>
        </w:rPr>
        <w:t xml:space="preserve">0 </w:t>
      </w:r>
      <w:r w:rsidR="0000609E" w:rsidRPr="007B0BF3">
        <w:rPr>
          <w:rFonts w:ascii="Times New Roman" w:hAnsi="Times New Roman" w:cs="Times New Roman"/>
          <w:color w:val="000000" w:themeColor="text1"/>
          <w:lang w:val="en-GB"/>
        </w:rPr>
        <w:t>new</w:t>
      </w:r>
      <w:r w:rsidRPr="007B0BF3">
        <w:rPr>
          <w:rFonts w:ascii="Times New Roman" w:hAnsi="Times New Roman" w:cs="Times New Roman"/>
          <w:color w:val="000000" w:themeColor="text1"/>
          <w:lang w:val="en-GB"/>
        </w:rPr>
        <w:t xml:space="preserve"> </w:t>
      </w:r>
      <w:r w:rsidR="00AD37EC" w:rsidRPr="007B0BF3">
        <w:rPr>
          <w:rFonts w:ascii="Times New Roman" w:hAnsi="Times New Roman" w:cs="Times New Roman"/>
          <w:color w:val="000000" w:themeColor="text1"/>
          <w:lang w:val="en-GB"/>
        </w:rPr>
        <w:t>w</w:t>
      </w:r>
      <w:r w:rsidRPr="007B0BF3">
        <w:rPr>
          <w:rFonts w:ascii="Times New Roman" w:hAnsi="Times New Roman" w:cs="Times New Roman"/>
          <w:color w:val="000000" w:themeColor="text1"/>
          <w:lang w:val="en-GB"/>
        </w:rPr>
        <w:t xml:space="preserve">ays to </w:t>
      </w:r>
      <w:r w:rsidR="00AD37EC" w:rsidRPr="007B0BF3">
        <w:rPr>
          <w:rFonts w:ascii="Times New Roman" w:hAnsi="Times New Roman" w:cs="Times New Roman"/>
          <w:color w:val="000000" w:themeColor="text1"/>
          <w:lang w:val="en-GB"/>
        </w:rPr>
        <w:t>c</w:t>
      </w:r>
      <w:r w:rsidRPr="007B0BF3">
        <w:rPr>
          <w:rFonts w:ascii="Times New Roman" w:hAnsi="Times New Roman" w:cs="Times New Roman"/>
          <w:color w:val="000000" w:themeColor="text1"/>
          <w:lang w:val="en-GB"/>
        </w:rPr>
        <w:t xml:space="preserve">ommunicate in </w:t>
      </w:r>
      <w:r w:rsidR="00AD37EC" w:rsidRPr="007B0BF3">
        <w:rPr>
          <w:rFonts w:ascii="Times New Roman" w:hAnsi="Times New Roman" w:cs="Times New Roman"/>
          <w:color w:val="000000" w:themeColor="text1"/>
          <w:lang w:val="en-GB"/>
        </w:rPr>
        <w:t>t</w:t>
      </w:r>
      <w:r w:rsidRPr="007B0BF3">
        <w:rPr>
          <w:rFonts w:ascii="Times New Roman" w:hAnsi="Times New Roman" w:cs="Times New Roman"/>
          <w:color w:val="000000" w:themeColor="text1"/>
          <w:lang w:val="en-GB"/>
        </w:rPr>
        <w:t xml:space="preserve">he </w:t>
      </w:r>
      <w:r w:rsidR="00AD37EC" w:rsidRPr="007B0BF3">
        <w:rPr>
          <w:rFonts w:ascii="Times New Roman" w:hAnsi="Times New Roman" w:cs="Times New Roman"/>
          <w:color w:val="000000" w:themeColor="text1"/>
          <w:lang w:val="en-GB"/>
        </w:rPr>
        <w:t>a</w:t>
      </w:r>
      <w:r w:rsidRPr="007B0BF3">
        <w:rPr>
          <w:rFonts w:ascii="Times New Roman" w:hAnsi="Times New Roman" w:cs="Times New Roman"/>
          <w:color w:val="000000" w:themeColor="text1"/>
          <w:lang w:val="en-GB"/>
        </w:rPr>
        <w:t xml:space="preserve">ge </w:t>
      </w:r>
      <w:r w:rsidR="00AD37EC" w:rsidRPr="007B0BF3">
        <w:rPr>
          <w:rFonts w:ascii="Times New Roman" w:hAnsi="Times New Roman" w:cs="Times New Roman"/>
          <w:color w:val="000000" w:themeColor="text1"/>
          <w:lang w:val="en-GB"/>
        </w:rPr>
        <w:t>o</w:t>
      </w:r>
      <w:r w:rsidRPr="007B0BF3">
        <w:rPr>
          <w:rFonts w:ascii="Times New Roman" w:hAnsi="Times New Roman" w:cs="Times New Roman"/>
          <w:color w:val="000000" w:themeColor="text1"/>
          <w:lang w:val="en-GB"/>
        </w:rPr>
        <w:t xml:space="preserve">f </w:t>
      </w:r>
      <w:r w:rsidR="00AD37EC" w:rsidRPr="007B0BF3">
        <w:rPr>
          <w:rFonts w:ascii="Times New Roman" w:hAnsi="Times New Roman" w:cs="Times New Roman"/>
          <w:color w:val="000000" w:themeColor="text1"/>
          <w:lang w:val="en-GB"/>
        </w:rPr>
        <w:t>d</w:t>
      </w:r>
      <w:r w:rsidRPr="007B0BF3">
        <w:rPr>
          <w:rFonts w:ascii="Times New Roman" w:hAnsi="Times New Roman" w:cs="Times New Roman"/>
          <w:color w:val="000000" w:themeColor="text1"/>
          <w:lang w:val="en-GB"/>
        </w:rPr>
        <w:t xml:space="preserve">igital </w:t>
      </w:r>
      <w:r w:rsidR="00AD37EC" w:rsidRPr="007B0BF3">
        <w:rPr>
          <w:rFonts w:ascii="Times New Roman" w:hAnsi="Times New Roman" w:cs="Times New Roman"/>
          <w:color w:val="000000" w:themeColor="text1"/>
          <w:lang w:val="en-GB"/>
        </w:rPr>
        <w:t>t</w:t>
      </w:r>
      <w:r w:rsidRPr="007B0BF3">
        <w:rPr>
          <w:rFonts w:ascii="Times New Roman" w:hAnsi="Times New Roman" w:cs="Times New Roman"/>
          <w:color w:val="000000" w:themeColor="text1"/>
          <w:lang w:val="en-GB"/>
        </w:rPr>
        <w:t xml:space="preserve">echnology. </w:t>
      </w:r>
      <w:hyperlink r:id="rId35" w:history="1">
        <w:r w:rsidRPr="007B0BF3">
          <w:rPr>
            <w:rStyle w:val="Hyperlink"/>
            <w:rFonts w:ascii="Times New Roman" w:hAnsi="Times New Roman" w:cs="Times New Roman"/>
            <w:lang w:val="en-GB"/>
          </w:rPr>
          <w:t>https://techresearchonline.com/blog/10-new-ways-to-communicate-digitally-age-of-digital-technology/</w:t>
        </w:r>
      </w:hyperlink>
      <w:r w:rsidRPr="007B0BF3">
        <w:rPr>
          <w:rFonts w:ascii="Times New Roman" w:hAnsi="Times New Roman" w:cs="Times New Roman"/>
          <w:color w:val="000000" w:themeColor="text1"/>
          <w:lang w:val="en-GB"/>
        </w:rPr>
        <w:t xml:space="preserve"> (</w:t>
      </w:r>
      <w:bookmarkStart w:id="4" w:name="_Hlk180708377"/>
      <w:r w:rsidRPr="007B0BF3">
        <w:rPr>
          <w:rFonts w:ascii="Times New Roman" w:hAnsi="Times New Roman" w:cs="Times New Roman"/>
          <w:color w:val="000000" w:themeColor="text1"/>
          <w:lang w:val="en-GB"/>
        </w:rPr>
        <w:t>Acces</w:t>
      </w:r>
      <w:r w:rsidR="0000609E" w:rsidRPr="007B0BF3">
        <w:rPr>
          <w:rFonts w:ascii="Times New Roman" w:hAnsi="Times New Roman" w:cs="Times New Roman"/>
          <w:color w:val="000000" w:themeColor="text1"/>
          <w:lang w:val="en-GB"/>
        </w:rPr>
        <w:t>s</w:t>
      </w:r>
      <w:r w:rsidRPr="007B0BF3">
        <w:rPr>
          <w:rFonts w:ascii="Times New Roman" w:hAnsi="Times New Roman" w:cs="Times New Roman"/>
          <w:color w:val="000000" w:themeColor="text1"/>
          <w:lang w:val="en-GB"/>
        </w:rPr>
        <w:t>ed: 23.10.2024</w:t>
      </w:r>
      <w:bookmarkEnd w:id="4"/>
      <w:r w:rsidRPr="007B0BF3">
        <w:rPr>
          <w:rFonts w:ascii="Times New Roman" w:hAnsi="Times New Roman" w:cs="Times New Roman"/>
          <w:color w:val="000000" w:themeColor="text1"/>
          <w:lang w:val="en-GB"/>
        </w:rPr>
        <w:t>)</w:t>
      </w:r>
      <w:r w:rsidR="000666CF" w:rsidRPr="007B0BF3">
        <w:rPr>
          <w:rFonts w:ascii="Times New Roman" w:hAnsi="Times New Roman" w:cs="Times New Roman"/>
          <w:color w:val="000000" w:themeColor="text1"/>
          <w:lang w:val="en-GB"/>
        </w:rPr>
        <w:t>.</w:t>
      </w:r>
    </w:p>
    <w:p w14:paraId="43C8F119" w14:textId="14B3386D" w:rsidR="00BE5454" w:rsidRPr="007B0BF3"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it-IT"/>
        </w:rPr>
        <w:t xml:space="preserve">Chandler, E., Ignagni, E., &amp; Collins, K. (2021). </w:t>
      </w:r>
      <w:r w:rsidRPr="007B0BF3">
        <w:rPr>
          <w:rFonts w:ascii="Times New Roman" w:hAnsi="Times New Roman" w:cs="Times New Roman"/>
          <w:color w:val="000000" w:themeColor="text1"/>
          <w:lang w:val="en-GB"/>
        </w:rPr>
        <w:t>Communicating access, accessing</w:t>
      </w:r>
      <w:r w:rsidR="003036C6" w:rsidRPr="007B0BF3">
        <w:rPr>
          <w:rFonts w:ascii="Times New Roman" w:hAnsi="Times New Roman" w:cs="Times New Roman"/>
          <w:color w:val="000000" w:themeColor="text1"/>
          <w:lang w:val="en-GB"/>
        </w:rPr>
        <w:t xml:space="preserve"> </w:t>
      </w:r>
      <w:r w:rsidRPr="007B0BF3">
        <w:rPr>
          <w:rFonts w:ascii="Times New Roman" w:hAnsi="Times New Roman" w:cs="Times New Roman"/>
          <w:color w:val="000000" w:themeColor="text1"/>
          <w:lang w:val="en-GB"/>
        </w:rPr>
        <w:t>communication. Studies in Social Justice, 15(2), 230-238.</w:t>
      </w:r>
      <w:r w:rsidRPr="007B0BF3">
        <w:rPr>
          <w:lang w:val="en-GB"/>
        </w:rPr>
        <w:t xml:space="preserve"> </w:t>
      </w:r>
      <w:hyperlink r:id="rId36" w:history="1">
        <w:r w:rsidRPr="007B0BF3">
          <w:rPr>
            <w:rStyle w:val="Hyperlink"/>
            <w:rFonts w:ascii="Times New Roman" w:hAnsi="Times New Roman" w:cs="Times New Roman"/>
            <w:lang w:val="nl"/>
          </w:rPr>
          <w:t>https://doi.org/10.26522/ssj.v15i2.2657</w:t>
        </w:r>
      </w:hyperlink>
      <w:r w:rsidRPr="007B0BF3">
        <w:rPr>
          <w:rFonts w:ascii="Times New Roman" w:hAnsi="Times New Roman" w:cs="Times New Roman"/>
          <w:color w:val="000000" w:themeColor="text1"/>
          <w:lang w:val="nl"/>
        </w:rPr>
        <w:t>.</w:t>
      </w:r>
    </w:p>
    <w:p w14:paraId="0ED61930" w14:textId="3A8867F8" w:rsidR="00392C41" w:rsidRPr="007B0BF3"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37" w:history="1">
        <w:r w:rsidRPr="007B0BF3">
          <w:rPr>
            <w:rStyle w:val="Hyperlink"/>
            <w:rFonts w:ascii="Times New Roman" w:hAnsi="Times New Roman" w:cs="Times New Roman"/>
            <w:lang w:val="en-GB"/>
          </w:rPr>
          <w:t>https://www.oed.com/search/dictionary</w:t>
        </w:r>
      </w:hyperlink>
    </w:p>
    <w:p w14:paraId="4690F664" w14:textId="77777777" w:rsidR="00392C41" w:rsidRPr="007B0BF3"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Trevithick, PA. (2000). Social Work Skills: A Practice Handbook. </w:t>
      </w:r>
      <w:r w:rsidRPr="007B0BF3">
        <w:rPr>
          <w:rFonts w:ascii="Times New Roman" w:hAnsi="Times New Roman" w:cs="Times New Roman"/>
          <w:color w:val="000000" w:themeColor="text1"/>
          <w:lang w:val="nl"/>
        </w:rPr>
        <w:t>Open University Press.</w:t>
      </w:r>
    </w:p>
    <w:p w14:paraId="42493DC2" w14:textId="5F2A7E35" w:rsidR="000666CF" w:rsidRPr="007B0BF3"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World Health Organisation (2011). World Report on Disability 2011.</w:t>
      </w:r>
      <w:r w:rsidRPr="007B0BF3">
        <w:rPr>
          <w:lang w:val="en-GB"/>
        </w:rPr>
        <w:t xml:space="preserve"> </w:t>
      </w:r>
      <w:hyperlink r:id="rId38" w:history="1">
        <w:r w:rsidRPr="007B0BF3">
          <w:rPr>
            <w:rStyle w:val="Hyperlink"/>
            <w:rFonts w:ascii="Times New Roman" w:hAnsi="Times New Roman" w:cs="Times New Roman"/>
          </w:rPr>
          <w:t>https://www.who.int/teams/noncommunicable-diseases/sensory-functions-disability-and-rehabilitation/world-report-on-disability</w:t>
        </w:r>
      </w:hyperlink>
      <w:r w:rsidRPr="007B0BF3">
        <w:rPr>
          <w:rFonts w:ascii="Times New Roman" w:hAnsi="Times New Roman" w:cs="Times New Roman"/>
          <w:color w:val="000000" w:themeColor="text1"/>
        </w:rPr>
        <w:t xml:space="preserve">. </w:t>
      </w:r>
      <w:r w:rsidRPr="007B0BF3">
        <w:rPr>
          <w:rFonts w:ascii="Times New Roman" w:hAnsi="Times New Roman" w:cs="Times New Roman"/>
          <w:color w:val="000000" w:themeColor="text1"/>
          <w:lang w:val="nl"/>
        </w:rPr>
        <w:t>(Acce</w:t>
      </w:r>
      <w:r w:rsidR="0000609E" w:rsidRPr="007B0BF3">
        <w:rPr>
          <w:rFonts w:ascii="Times New Roman" w:hAnsi="Times New Roman" w:cs="Times New Roman"/>
          <w:color w:val="000000" w:themeColor="text1"/>
          <w:lang w:val="nl"/>
        </w:rPr>
        <w:t>s</w:t>
      </w:r>
      <w:r w:rsidRPr="007B0BF3">
        <w:rPr>
          <w:rFonts w:ascii="Times New Roman" w:hAnsi="Times New Roman" w:cs="Times New Roman"/>
          <w:color w:val="000000" w:themeColor="text1"/>
          <w:lang w:val="nl"/>
        </w:rPr>
        <w:t>sed: 23.10.2024).</w:t>
      </w:r>
    </w:p>
    <w:p w14:paraId="39E51A01" w14:textId="1E1D253E" w:rsidR="00B6198C" w:rsidRPr="007B0BF3"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What is transdisciplinary research, Utrecht University. </w:t>
      </w:r>
      <w:hyperlink r:id="rId39" w:history="1">
        <w:r w:rsidRPr="007B0BF3">
          <w:rPr>
            <w:rStyle w:val="Hyperlink"/>
            <w:rFonts w:ascii="Times New Roman" w:hAnsi="Times New Roman" w:cs="Times New Roman"/>
            <w:lang w:val="en-GB"/>
          </w:rPr>
          <w:t>https://www.uu.nl/en/research/transdisciplinary-field-guide/get-started/what-is-transdisciplinary-research</w:t>
        </w:r>
      </w:hyperlink>
      <w:r w:rsidRPr="007B0BF3">
        <w:rPr>
          <w:rFonts w:ascii="Times New Roman" w:hAnsi="Times New Roman" w:cs="Times New Roman"/>
          <w:color w:val="000000" w:themeColor="text1"/>
          <w:lang w:val="en-GB"/>
        </w:rPr>
        <w:t xml:space="preserve"> (Acce</w:t>
      </w:r>
      <w:r w:rsidR="0000609E" w:rsidRPr="007B0BF3">
        <w:rPr>
          <w:rFonts w:ascii="Times New Roman" w:hAnsi="Times New Roman" w:cs="Times New Roman"/>
          <w:color w:val="000000" w:themeColor="text1"/>
          <w:lang w:val="en-GB"/>
        </w:rPr>
        <w:t>s</w:t>
      </w:r>
      <w:r w:rsidRPr="007B0BF3">
        <w:rPr>
          <w:rFonts w:ascii="Times New Roman" w:hAnsi="Times New Roman" w:cs="Times New Roman"/>
          <w:color w:val="000000" w:themeColor="text1"/>
          <w:lang w:val="en-GB"/>
        </w:rPr>
        <w:t>sed: 23.10.2024).</w:t>
      </w:r>
    </w:p>
    <w:p w14:paraId="65A56D86" w14:textId="42BF246C" w:rsidR="00AE2113" w:rsidRPr="007B0BF3"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Newell, W. H. (2001). A Theory of Interdisciplinary Studies. Issues in Integrative Studies, 19, 1-24.</w:t>
      </w:r>
      <w:r w:rsidRPr="007B0BF3">
        <w:rPr>
          <w:lang w:val="en-GB"/>
        </w:rPr>
        <w:t xml:space="preserve"> </w:t>
      </w:r>
      <w:hyperlink r:id="rId40" w:history="1">
        <w:r w:rsidRPr="007B0BF3">
          <w:rPr>
            <w:rStyle w:val="Hyperlink"/>
            <w:rFonts w:ascii="Times New Roman" w:hAnsi="Times New Roman" w:cs="Times New Roman"/>
            <w:lang w:val="en-GB"/>
          </w:rPr>
          <w:t>https://web.mit.edu/jrankin/www/interdisciplinary/interdisc_Newell.pdf</w:t>
        </w:r>
      </w:hyperlink>
      <w:r w:rsidRPr="007B0BF3">
        <w:rPr>
          <w:rFonts w:ascii="Times New Roman" w:hAnsi="Times New Roman" w:cs="Times New Roman"/>
          <w:color w:val="000000" w:themeColor="text1"/>
          <w:lang w:val="en-GB"/>
        </w:rPr>
        <w:t>.</w:t>
      </w:r>
    </w:p>
    <w:p w14:paraId="531C33A4" w14:textId="1CC3CBA1" w:rsidR="003036C6" w:rsidRPr="007B0BF3"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Resh, H.M. and Howard, M. (2012)</w:t>
      </w:r>
      <w:r w:rsidR="00430B8F" w:rsidRPr="007B0BF3">
        <w:rPr>
          <w:rFonts w:ascii="Times New Roman" w:hAnsi="Times New Roman" w:cs="Times New Roman"/>
          <w:color w:val="000000" w:themeColor="text1"/>
          <w:lang w:val="en-GB"/>
        </w:rPr>
        <w:t>.</w:t>
      </w:r>
      <w:r w:rsidRPr="007B0BF3">
        <w:rPr>
          <w:rFonts w:ascii="Times New Roman" w:hAnsi="Times New Roman" w:cs="Times New Roman"/>
          <w:color w:val="000000" w:themeColor="text1"/>
          <w:lang w:val="en-GB"/>
        </w:rPr>
        <w:t xml:space="preserve"> Hydroponic Food Production: A Definitive Guidebook for the Advanced Home Gardener and the Commercial Hydroponic Grower. </w:t>
      </w:r>
      <w:r w:rsidRPr="007B0BF3">
        <w:rPr>
          <w:rFonts w:ascii="Times New Roman" w:hAnsi="Times New Roman" w:cs="Times New Roman"/>
          <w:color w:val="000000" w:themeColor="text1"/>
          <w:lang w:val="nl"/>
        </w:rPr>
        <w:t>CRC Press, Santa Barbara, California.</w:t>
      </w:r>
      <w:r w:rsidR="00430B8F" w:rsidRPr="007B0BF3">
        <w:rPr>
          <w:rFonts w:ascii="Times New Roman" w:hAnsi="Times New Roman" w:cs="Times New Roman"/>
          <w:color w:val="000000" w:themeColor="text1"/>
          <w:lang w:val="nl"/>
        </w:rPr>
        <w:t xml:space="preserve"> DOI: </w:t>
      </w:r>
      <w:hyperlink r:id="rId41" w:history="1">
        <w:r w:rsidR="00430B8F" w:rsidRPr="007B0BF3">
          <w:rPr>
            <w:rStyle w:val="Hyperlink"/>
            <w:rFonts w:ascii="Times New Roman" w:hAnsi="Times New Roman" w:cs="Times New Roman"/>
            <w:lang w:val="nl"/>
          </w:rPr>
          <w:t>http://dx.doi.org/10.1201/b12500</w:t>
        </w:r>
      </w:hyperlink>
      <w:r w:rsidR="00430B8F" w:rsidRPr="007B0BF3">
        <w:rPr>
          <w:rFonts w:ascii="Times New Roman" w:hAnsi="Times New Roman" w:cs="Times New Roman"/>
          <w:color w:val="000000" w:themeColor="text1"/>
          <w:lang w:val="nl"/>
        </w:rPr>
        <w:t>.</w:t>
      </w:r>
    </w:p>
    <w:p w14:paraId="711FCFB3" w14:textId="1DB56EC7" w:rsidR="00BD4C94" w:rsidRPr="007B0BF3"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Adriano, D. C. (2001). Trace Elements in Terrestrial Environments: Biogeochemistry, Bioavailability, and Risks of Metals. </w:t>
      </w:r>
      <w:r w:rsidRPr="007B0BF3">
        <w:rPr>
          <w:rFonts w:ascii="Times New Roman" w:hAnsi="Times New Roman" w:cs="Times New Roman"/>
          <w:color w:val="000000" w:themeColor="text1"/>
          <w:lang w:val="nl"/>
        </w:rPr>
        <w:t>Springer.</w:t>
      </w:r>
    </w:p>
    <w:p w14:paraId="7BF5F264" w14:textId="54678D14" w:rsidR="00DB0D05" w:rsidRPr="007B0BF3"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Gupta, P.K., Goel, M. (2021). Environmental Tracers and Isotopic Techniques: Tools for Sustainable Water Management. In: Adhikary, P.P., Shit, P.K., Santra, P., Bhunia, G.S., Tiwari, A.K., Chaudhary, B.S. (eds) Geostatistics and Geospatial Technologies for Groundwater Resources in India. </w:t>
      </w:r>
      <w:r w:rsidRPr="007B0BF3">
        <w:rPr>
          <w:rFonts w:ascii="Times New Roman" w:hAnsi="Times New Roman" w:cs="Times New Roman"/>
          <w:color w:val="000000" w:themeColor="text1"/>
          <w:lang w:val="nl"/>
        </w:rPr>
        <w:t xml:space="preserve">Springer Hydrogeology. Springer, Cham. </w:t>
      </w:r>
      <w:hyperlink r:id="rId42" w:history="1">
        <w:r w:rsidRPr="007B0BF3">
          <w:rPr>
            <w:rStyle w:val="Hyperlink"/>
            <w:rFonts w:ascii="Times New Roman" w:hAnsi="Times New Roman" w:cs="Times New Roman"/>
            <w:lang w:val="nl"/>
          </w:rPr>
          <w:t>https://doi.org/10.1007/978-3-030-62397-5_26</w:t>
        </w:r>
      </w:hyperlink>
      <w:r w:rsidRPr="007B0BF3">
        <w:rPr>
          <w:rFonts w:ascii="Times New Roman" w:hAnsi="Times New Roman" w:cs="Times New Roman"/>
          <w:color w:val="000000" w:themeColor="text1"/>
          <w:lang w:val="nl"/>
        </w:rPr>
        <w:t>.</w:t>
      </w:r>
    </w:p>
    <w:p w14:paraId="66A2EBC2" w14:textId="6CFCFA24" w:rsidR="0039340A" w:rsidRPr="007B0BF3"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Scholz, R.W. (2020). Transdisciplinarity: science for and with society in light of the university’s roles and functions. </w:t>
      </w:r>
      <w:r w:rsidRPr="007B0BF3">
        <w:rPr>
          <w:rFonts w:ascii="Times New Roman" w:hAnsi="Times New Roman" w:cs="Times New Roman"/>
          <w:color w:val="000000" w:themeColor="text1"/>
          <w:lang w:val="nl"/>
        </w:rPr>
        <w:t xml:space="preserve">Sustain Sci 15, 1033–1049.DOI: </w:t>
      </w:r>
      <w:hyperlink r:id="rId43" w:history="1">
        <w:r w:rsidRPr="007B0BF3">
          <w:rPr>
            <w:rStyle w:val="Hyperlink"/>
            <w:rFonts w:ascii="Times New Roman" w:hAnsi="Times New Roman" w:cs="Times New Roman"/>
            <w:lang w:val="nl"/>
          </w:rPr>
          <w:t>https://doi.org/10.1007/s11625-020-00794-x</w:t>
        </w:r>
      </w:hyperlink>
      <w:r w:rsidRPr="007B0BF3">
        <w:rPr>
          <w:rFonts w:ascii="Times New Roman" w:hAnsi="Times New Roman" w:cs="Times New Roman"/>
          <w:color w:val="000000" w:themeColor="text1"/>
          <w:lang w:val="nl"/>
        </w:rPr>
        <w:t>.</w:t>
      </w:r>
    </w:p>
    <w:p w14:paraId="7A8BC84A" w14:textId="401531A9" w:rsidR="0039340A" w:rsidRPr="007B0BF3"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7B0BF3">
        <w:rPr>
          <w:rFonts w:ascii="Times New Roman" w:hAnsi="Times New Roman" w:cs="Times New Roman"/>
          <w:color w:val="000000" w:themeColor="text1"/>
          <w:lang w:val="en-GB"/>
        </w:rPr>
        <w:lastRenderedPageBreak/>
        <w:t xml:space="preserve">Solomon, G.E., Carley, S., Porter, A.L. (2016) How Multidisciplinary Are the Multidisciplinary Journals Science and Nature? </w:t>
      </w:r>
      <w:r w:rsidRPr="007B0BF3">
        <w:rPr>
          <w:rFonts w:ascii="Times New Roman" w:hAnsi="Times New Roman" w:cs="Times New Roman"/>
          <w:color w:val="000000" w:themeColor="text1"/>
          <w:lang w:val="pt-BR"/>
        </w:rPr>
        <w:t xml:space="preserve">PLoS One. Apr 4;11(4):e0152637. DOI: </w:t>
      </w:r>
      <w:hyperlink r:id="rId44" w:history="1">
        <w:r w:rsidRPr="007B0BF3">
          <w:rPr>
            <w:rStyle w:val="Hyperlink"/>
            <w:rFonts w:ascii="Times New Roman" w:hAnsi="Times New Roman" w:cs="Times New Roman"/>
            <w:lang w:val="pt-BR"/>
          </w:rPr>
          <w:t>https://doi.org/10.1371/journal.pone.0152637</w:t>
        </w:r>
      </w:hyperlink>
      <w:r w:rsidRPr="007B0BF3">
        <w:rPr>
          <w:rFonts w:ascii="Times New Roman" w:hAnsi="Times New Roman" w:cs="Times New Roman"/>
          <w:color w:val="000000" w:themeColor="text1"/>
          <w:lang w:val="pt-BR"/>
        </w:rPr>
        <w:t>.</w:t>
      </w:r>
    </w:p>
    <w:p w14:paraId="3F05DC8B" w14:textId="0E1FED4A" w:rsidR="00A80812" w:rsidRPr="007B0BF3"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7B0BF3">
        <w:rPr>
          <w:rFonts w:ascii="Times New Roman" w:hAnsi="Times New Roman" w:cs="Times New Roman"/>
          <w:color w:val="545454"/>
          <w:shd w:val="clear" w:color="auto" w:fill="FFFFFF"/>
          <w:lang w:val="en-GB"/>
        </w:rPr>
        <w:t xml:space="preserve">FAO. </w:t>
      </w:r>
      <w:r w:rsidR="00AC40AC" w:rsidRPr="007B0BF3">
        <w:rPr>
          <w:rFonts w:ascii="Times New Roman" w:hAnsi="Times New Roman" w:cs="Times New Roman"/>
          <w:color w:val="545454"/>
          <w:shd w:val="clear" w:color="auto" w:fill="FFFFFF"/>
          <w:lang w:val="en-GB"/>
        </w:rPr>
        <w:t>(</w:t>
      </w:r>
      <w:r w:rsidRPr="007B0BF3">
        <w:rPr>
          <w:rFonts w:ascii="Times New Roman" w:hAnsi="Times New Roman" w:cs="Times New Roman"/>
          <w:color w:val="545454"/>
          <w:shd w:val="clear" w:color="auto" w:fill="FFFFFF"/>
          <w:lang w:val="en-GB"/>
        </w:rPr>
        <w:t>2021</w:t>
      </w:r>
      <w:r w:rsidR="00AC40AC" w:rsidRPr="007B0BF3">
        <w:rPr>
          <w:rFonts w:ascii="Times New Roman" w:hAnsi="Times New Roman" w:cs="Times New Roman"/>
          <w:color w:val="545454"/>
          <w:shd w:val="clear" w:color="auto" w:fill="FFFFFF"/>
          <w:lang w:val="en-GB"/>
        </w:rPr>
        <w:t>)</w:t>
      </w:r>
      <w:r w:rsidRPr="007B0BF3">
        <w:rPr>
          <w:rFonts w:ascii="Times New Roman" w:hAnsi="Times New Roman" w:cs="Times New Roman"/>
          <w:color w:val="545454"/>
          <w:shd w:val="clear" w:color="auto" w:fill="FFFFFF"/>
          <w:lang w:val="en-GB"/>
        </w:rPr>
        <w:t>. </w:t>
      </w:r>
      <w:r w:rsidRPr="007B0BF3">
        <w:rPr>
          <w:rStyle w:val="Emphasis"/>
          <w:rFonts w:ascii="Times New Roman" w:hAnsi="Times New Roman" w:cs="Times New Roman"/>
          <w:i w:val="0"/>
          <w:iCs w:val="0"/>
          <w:color w:val="545454"/>
          <w:shd w:val="clear" w:color="auto" w:fill="FFFFFF"/>
          <w:lang w:val="en-GB"/>
        </w:rPr>
        <w:t>The State of Food and Agriculture 2021. Making agrifood systems more resilient to shocks and stresses</w:t>
      </w:r>
      <w:r w:rsidRPr="007B0BF3">
        <w:rPr>
          <w:rFonts w:ascii="Times New Roman" w:hAnsi="Times New Roman" w:cs="Times New Roman"/>
          <w:color w:val="545454"/>
          <w:shd w:val="clear" w:color="auto" w:fill="FFFFFF"/>
          <w:lang w:val="en-GB"/>
        </w:rPr>
        <w:t xml:space="preserve">. </w:t>
      </w:r>
      <w:r w:rsidRPr="007B0BF3">
        <w:rPr>
          <w:rFonts w:ascii="Times New Roman" w:hAnsi="Times New Roman" w:cs="Times New Roman"/>
          <w:color w:val="545454"/>
          <w:shd w:val="clear" w:color="auto" w:fill="FFFFFF"/>
        </w:rPr>
        <w:t>Rome, FAO.</w:t>
      </w:r>
      <w:r w:rsidRPr="007B0BF3">
        <w:rPr>
          <w:rFonts w:ascii="Times New Roman" w:hAnsi="Times New Roman" w:cs="Times New Roman"/>
        </w:rPr>
        <w:t xml:space="preserve"> </w:t>
      </w:r>
      <w:r w:rsidR="00AC40AC" w:rsidRPr="007B0BF3">
        <w:rPr>
          <w:rFonts w:ascii="Times New Roman" w:hAnsi="Times New Roman" w:cs="Times New Roman"/>
        </w:rPr>
        <w:t xml:space="preserve">DOI: </w:t>
      </w:r>
      <w:hyperlink r:id="rId45" w:history="1">
        <w:r w:rsidR="00AC40AC" w:rsidRPr="007B0BF3">
          <w:rPr>
            <w:rStyle w:val="Hyperlink"/>
            <w:rFonts w:ascii="Times New Roman" w:hAnsi="Times New Roman" w:cs="Times New Roman"/>
          </w:rPr>
          <w:t>https://doi.org/10.4060/cb4476en</w:t>
        </w:r>
      </w:hyperlink>
      <w:r w:rsidRPr="007B0BF3">
        <w:rPr>
          <w:rFonts w:ascii="Times New Roman" w:hAnsi="Times New Roman" w:cs="Times New Roman"/>
          <w:color w:val="545454"/>
          <w:shd w:val="clear" w:color="auto" w:fill="FFFFFF"/>
        </w:rPr>
        <w:t>.</w:t>
      </w:r>
    </w:p>
    <w:p w14:paraId="26DF7967" w14:textId="6B043898" w:rsidR="00A80812" w:rsidRPr="007B0BF3"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United Nations. 2020. Global Biodiversity Outlook 5. Montreal: Secretariat of the Convention on Biological Diversity. </w:t>
      </w:r>
      <w:r w:rsidRPr="007B0BF3">
        <w:rPr>
          <w:rFonts w:ascii="Times New Roman" w:hAnsi="Times New Roman" w:cs="Times New Roman"/>
          <w:color w:val="000000" w:themeColor="text1"/>
          <w:lang w:val="nl"/>
        </w:rPr>
        <w:t xml:space="preserve">Available at </w:t>
      </w:r>
      <w:r w:rsidR="006A5BAB" w:rsidRPr="007B0BF3">
        <w:fldChar w:fldCharType="begin"/>
      </w:r>
      <w:r w:rsidR="006A5BAB" w:rsidRPr="007B0BF3">
        <w:instrText>HYPERLINK "https://www.cbd.int/gbo5"</w:instrText>
      </w:r>
      <w:r w:rsidR="006A5BAB" w:rsidRPr="007B0BF3">
        <w:fldChar w:fldCharType="separate"/>
      </w:r>
      <w:r w:rsidR="006A5BAB" w:rsidRPr="007B0BF3">
        <w:rPr>
          <w:rStyle w:val="Hyperlink"/>
          <w:rFonts w:ascii="Times New Roman" w:hAnsi="Times New Roman" w:cs="Times New Roman"/>
          <w:lang w:val="nl"/>
        </w:rPr>
        <w:t>https://www.cbd.int/gbo5</w:t>
      </w:r>
      <w:r w:rsidR="006A5BAB" w:rsidRPr="007B0BF3">
        <w:fldChar w:fldCharType="end"/>
      </w:r>
      <w:r w:rsidRPr="007B0BF3">
        <w:rPr>
          <w:rFonts w:ascii="Times New Roman" w:hAnsi="Times New Roman" w:cs="Times New Roman"/>
          <w:color w:val="000000" w:themeColor="text1"/>
          <w:lang w:val="nl"/>
        </w:rPr>
        <w:t>.</w:t>
      </w:r>
    </w:p>
    <w:p w14:paraId="1CE6EA02" w14:textId="77777777" w:rsidR="00C6663B" w:rsidRPr="007B0BF3"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Lal, R. (2004). Soil Carbon Sequestration Impacts on Global Climate Change and Food Security. </w:t>
      </w:r>
      <w:r w:rsidRPr="007B0BF3">
        <w:rPr>
          <w:rFonts w:ascii="Times New Roman" w:hAnsi="Times New Roman" w:cs="Times New Roman"/>
          <w:color w:val="000000" w:themeColor="text1"/>
          <w:lang w:val="nl"/>
        </w:rPr>
        <w:t xml:space="preserve">Science, 304(5677), 1623–1627. DOI: </w:t>
      </w:r>
      <w:hyperlink r:id="rId46" w:history="1">
        <w:r w:rsidRPr="007B0BF3">
          <w:rPr>
            <w:rStyle w:val="Hyperlink"/>
            <w:rFonts w:ascii="Times New Roman" w:hAnsi="Times New Roman" w:cs="Times New Roman"/>
            <w:lang w:val="nl"/>
          </w:rPr>
          <w:t>https://doi.org/10.1126/science.1097396</w:t>
        </w:r>
      </w:hyperlink>
      <w:r w:rsidRPr="007B0BF3">
        <w:rPr>
          <w:rFonts w:ascii="Times New Roman" w:hAnsi="Times New Roman" w:cs="Times New Roman"/>
          <w:color w:val="000000" w:themeColor="text1"/>
          <w:lang w:val="nl"/>
        </w:rPr>
        <w:t>.</w:t>
      </w:r>
    </w:p>
    <w:p w14:paraId="36707C5B" w14:textId="79DEF3C4" w:rsidR="00E410A6" w:rsidRPr="007B0BF3"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7B0BF3">
        <w:rPr>
          <w:rFonts w:ascii="Times New Roman" w:hAnsi="Times New Roman" w:cs="Times New Roman"/>
          <w:color w:val="333333"/>
          <w:shd w:val="clear" w:color="auto" w:fill="EAEAEA"/>
          <w:lang w:val="en-GB"/>
        </w:rPr>
        <w:t xml:space="preserve">Lal, R. (2020). Regenerative agriculture for food and climate. Journal of Soil and Water Conservation, 75(5), 123A-124A. </w:t>
      </w:r>
      <w:r w:rsidRPr="007B0BF3">
        <w:rPr>
          <w:rFonts w:ascii="Times New Roman" w:hAnsi="Times New Roman" w:cs="Times New Roman"/>
          <w:color w:val="333333"/>
          <w:shd w:val="clear" w:color="auto" w:fill="EAEAEA"/>
        </w:rPr>
        <w:t xml:space="preserve">DOI: </w:t>
      </w:r>
      <w:hyperlink r:id="rId47" w:history="1">
        <w:r w:rsidRPr="007B0BF3">
          <w:rPr>
            <w:rStyle w:val="Hyperlink"/>
            <w:rFonts w:ascii="Times New Roman" w:hAnsi="Times New Roman" w:cs="Times New Roman"/>
          </w:rPr>
          <w:t>https://doi.org/10.2489/jswc.2020.0620A</w:t>
        </w:r>
      </w:hyperlink>
      <w:r w:rsidRPr="007B0BF3">
        <w:rPr>
          <w:rFonts w:ascii="Times New Roman" w:hAnsi="Times New Roman" w:cs="Times New Roman"/>
          <w:color w:val="333333"/>
          <w:shd w:val="clear" w:color="auto" w:fill="EAEAEA"/>
        </w:rPr>
        <w:t>.</w:t>
      </w:r>
    </w:p>
    <w:p w14:paraId="51C3DF7E" w14:textId="2EC28634" w:rsidR="00D3385E" w:rsidRPr="007B0BF3" w:rsidRDefault="00D3385E" w:rsidP="00D3385E">
      <w:pPr>
        <w:pStyle w:val="ListParagraph"/>
        <w:numPr>
          <w:ilvl w:val="0"/>
          <w:numId w:val="1"/>
        </w:numPr>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rPr>
        <w:t xml:space="preserve">Chadwick, D., </w:t>
      </w:r>
      <w:proofErr w:type="spellStart"/>
      <w:r w:rsidRPr="007B0BF3">
        <w:rPr>
          <w:rFonts w:ascii="Times New Roman" w:hAnsi="Times New Roman" w:cs="Times New Roman"/>
          <w:color w:val="000000" w:themeColor="text1"/>
        </w:rPr>
        <w:t>Sommer</w:t>
      </w:r>
      <w:proofErr w:type="spellEnd"/>
      <w:r w:rsidRPr="007B0BF3">
        <w:rPr>
          <w:rFonts w:ascii="Times New Roman" w:hAnsi="Times New Roman" w:cs="Times New Roman"/>
          <w:color w:val="000000" w:themeColor="text1"/>
        </w:rPr>
        <w:t xml:space="preserve">, S., </w:t>
      </w:r>
      <w:proofErr w:type="spellStart"/>
      <w:r w:rsidRPr="007B0BF3">
        <w:rPr>
          <w:rFonts w:ascii="Times New Roman" w:hAnsi="Times New Roman" w:cs="Times New Roman"/>
          <w:color w:val="000000" w:themeColor="text1"/>
        </w:rPr>
        <w:t>Thorman</w:t>
      </w:r>
      <w:proofErr w:type="spellEnd"/>
      <w:r w:rsidRPr="007B0BF3">
        <w:rPr>
          <w:rFonts w:ascii="Times New Roman" w:hAnsi="Times New Roman" w:cs="Times New Roman"/>
          <w:color w:val="000000" w:themeColor="text1"/>
        </w:rPr>
        <w:t xml:space="preserve">, R., </w:t>
      </w:r>
      <w:proofErr w:type="spellStart"/>
      <w:r w:rsidRPr="007B0BF3">
        <w:rPr>
          <w:rFonts w:ascii="Times New Roman" w:hAnsi="Times New Roman" w:cs="Times New Roman"/>
          <w:color w:val="000000" w:themeColor="text1"/>
        </w:rPr>
        <w:t>Fangueiro</w:t>
      </w:r>
      <w:proofErr w:type="spellEnd"/>
      <w:r w:rsidRPr="007B0BF3">
        <w:rPr>
          <w:rFonts w:ascii="Times New Roman" w:hAnsi="Times New Roman" w:cs="Times New Roman"/>
          <w:color w:val="000000" w:themeColor="text1"/>
        </w:rPr>
        <w:t xml:space="preserve">, D., </w:t>
      </w:r>
      <w:proofErr w:type="spellStart"/>
      <w:r w:rsidRPr="007B0BF3">
        <w:rPr>
          <w:rFonts w:ascii="Times New Roman" w:hAnsi="Times New Roman" w:cs="Times New Roman"/>
          <w:color w:val="000000" w:themeColor="text1"/>
        </w:rPr>
        <w:t>Cardenas</w:t>
      </w:r>
      <w:proofErr w:type="spellEnd"/>
      <w:r w:rsidRPr="007B0BF3">
        <w:rPr>
          <w:rFonts w:ascii="Times New Roman" w:hAnsi="Times New Roman" w:cs="Times New Roman"/>
          <w:color w:val="000000" w:themeColor="text1"/>
        </w:rPr>
        <w:t xml:space="preserve">, L., </w:t>
      </w:r>
      <w:proofErr w:type="spellStart"/>
      <w:r w:rsidRPr="007B0BF3">
        <w:rPr>
          <w:rFonts w:ascii="Times New Roman" w:hAnsi="Times New Roman" w:cs="Times New Roman"/>
          <w:color w:val="000000" w:themeColor="text1"/>
        </w:rPr>
        <w:t>Amon</w:t>
      </w:r>
      <w:proofErr w:type="spellEnd"/>
      <w:r w:rsidRPr="007B0BF3">
        <w:rPr>
          <w:rFonts w:ascii="Times New Roman" w:hAnsi="Times New Roman" w:cs="Times New Roman"/>
          <w:color w:val="000000" w:themeColor="text1"/>
        </w:rPr>
        <w:t xml:space="preserve">, B., </w:t>
      </w:r>
      <w:proofErr w:type="spellStart"/>
      <w:r w:rsidRPr="007B0BF3">
        <w:rPr>
          <w:rFonts w:ascii="Times New Roman" w:hAnsi="Times New Roman" w:cs="Times New Roman"/>
          <w:color w:val="000000" w:themeColor="text1"/>
        </w:rPr>
        <w:t>Misselbrook</w:t>
      </w:r>
      <w:proofErr w:type="spellEnd"/>
      <w:r w:rsidRPr="007B0BF3">
        <w:rPr>
          <w:rFonts w:ascii="Times New Roman" w:hAnsi="Times New Roman" w:cs="Times New Roman"/>
          <w:color w:val="000000" w:themeColor="text1"/>
        </w:rPr>
        <w:t xml:space="preserve">, T. (2011). </w:t>
      </w:r>
      <w:proofErr w:type="spellStart"/>
      <w:r w:rsidRPr="007B0BF3">
        <w:rPr>
          <w:rFonts w:ascii="Times New Roman" w:hAnsi="Times New Roman" w:cs="Times New Roman"/>
          <w:color w:val="000000" w:themeColor="text1"/>
        </w:rPr>
        <w:t>Manure</w:t>
      </w:r>
      <w:proofErr w:type="spellEnd"/>
      <w:r w:rsidRPr="007B0BF3">
        <w:rPr>
          <w:rFonts w:ascii="Times New Roman" w:hAnsi="Times New Roman" w:cs="Times New Roman"/>
          <w:color w:val="000000" w:themeColor="text1"/>
        </w:rPr>
        <w:t xml:space="preserve"> </w:t>
      </w:r>
      <w:proofErr w:type="spellStart"/>
      <w:r w:rsidRPr="007B0BF3">
        <w:rPr>
          <w:rFonts w:ascii="Times New Roman" w:hAnsi="Times New Roman" w:cs="Times New Roman"/>
          <w:color w:val="000000" w:themeColor="text1"/>
        </w:rPr>
        <w:t>management</w:t>
      </w:r>
      <w:proofErr w:type="spellEnd"/>
      <w:r w:rsidRPr="007B0BF3">
        <w:rPr>
          <w:rFonts w:ascii="Times New Roman" w:hAnsi="Times New Roman" w:cs="Times New Roman"/>
          <w:color w:val="000000" w:themeColor="text1"/>
        </w:rPr>
        <w:t xml:space="preserve">: </w:t>
      </w:r>
      <w:proofErr w:type="spellStart"/>
      <w:r w:rsidRPr="007B0BF3">
        <w:rPr>
          <w:rFonts w:ascii="Times New Roman" w:hAnsi="Times New Roman" w:cs="Times New Roman"/>
          <w:color w:val="000000" w:themeColor="text1"/>
        </w:rPr>
        <w:t>Implications</w:t>
      </w:r>
      <w:proofErr w:type="spellEnd"/>
      <w:r w:rsidRPr="007B0BF3">
        <w:rPr>
          <w:rFonts w:ascii="Times New Roman" w:hAnsi="Times New Roman" w:cs="Times New Roman"/>
          <w:color w:val="000000" w:themeColor="text1"/>
        </w:rPr>
        <w:t xml:space="preserve"> </w:t>
      </w:r>
      <w:proofErr w:type="spellStart"/>
      <w:r w:rsidRPr="007B0BF3">
        <w:rPr>
          <w:rFonts w:ascii="Times New Roman" w:hAnsi="Times New Roman" w:cs="Times New Roman"/>
          <w:color w:val="000000" w:themeColor="text1"/>
        </w:rPr>
        <w:t>for</w:t>
      </w:r>
      <w:proofErr w:type="spellEnd"/>
      <w:r w:rsidRPr="007B0BF3">
        <w:rPr>
          <w:rFonts w:ascii="Times New Roman" w:hAnsi="Times New Roman" w:cs="Times New Roman"/>
          <w:color w:val="000000" w:themeColor="text1"/>
        </w:rPr>
        <w:t xml:space="preserve"> </w:t>
      </w:r>
      <w:proofErr w:type="spellStart"/>
      <w:r w:rsidRPr="007B0BF3">
        <w:rPr>
          <w:rFonts w:ascii="Times New Roman" w:hAnsi="Times New Roman" w:cs="Times New Roman"/>
          <w:color w:val="000000" w:themeColor="text1"/>
        </w:rPr>
        <w:t>greenhouse</w:t>
      </w:r>
      <w:proofErr w:type="spellEnd"/>
      <w:r w:rsidRPr="007B0BF3">
        <w:rPr>
          <w:rFonts w:ascii="Times New Roman" w:hAnsi="Times New Roman" w:cs="Times New Roman"/>
          <w:color w:val="000000" w:themeColor="text1"/>
        </w:rPr>
        <w:t xml:space="preserve"> gas </w:t>
      </w:r>
      <w:proofErr w:type="spellStart"/>
      <w:r w:rsidRPr="007B0BF3">
        <w:rPr>
          <w:rFonts w:ascii="Times New Roman" w:hAnsi="Times New Roman" w:cs="Times New Roman"/>
          <w:color w:val="000000" w:themeColor="text1"/>
        </w:rPr>
        <w:t>emissions</w:t>
      </w:r>
      <w:proofErr w:type="spellEnd"/>
      <w:r w:rsidRPr="007B0BF3">
        <w:rPr>
          <w:rFonts w:ascii="Times New Roman" w:hAnsi="Times New Roman" w:cs="Times New Roman"/>
          <w:color w:val="000000" w:themeColor="text1"/>
        </w:rPr>
        <w:t xml:space="preserve">. </w:t>
      </w:r>
      <w:r w:rsidRPr="007B0BF3">
        <w:rPr>
          <w:rFonts w:ascii="Times New Roman" w:hAnsi="Times New Roman" w:cs="Times New Roman"/>
          <w:color w:val="000000" w:themeColor="text1"/>
          <w:lang w:val="en-GB"/>
        </w:rPr>
        <w:t xml:space="preserve">Animal Feed Science and Technology, vol. 166–167, pp. 514-531. DOI: </w:t>
      </w:r>
      <w:hyperlink r:id="rId48" w:history="1">
        <w:r w:rsidR="00F566FE" w:rsidRPr="007B0BF3">
          <w:rPr>
            <w:rStyle w:val="Hyperlink"/>
            <w:rFonts w:ascii="Times New Roman" w:hAnsi="Times New Roman" w:cs="Times New Roman"/>
            <w:lang w:val="en-GB"/>
          </w:rPr>
          <w:t>https://doi.org/10.1016/j.anifeedsci.2011.04.036</w:t>
        </w:r>
      </w:hyperlink>
      <w:r w:rsidRPr="007B0BF3">
        <w:rPr>
          <w:rFonts w:ascii="Times New Roman" w:hAnsi="Times New Roman" w:cs="Times New Roman"/>
          <w:color w:val="000000" w:themeColor="text1"/>
          <w:lang w:val="en-GB"/>
        </w:rPr>
        <w:t>.</w:t>
      </w:r>
    </w:p>
    <w:p w14:paraId="1B6567A1" w14:textId="22A73BBB" w:rsidR="007331F3" w:rsidRPr="007B0BF3" w:rsidRDefault="00F566FE" w:rsidP="00D3385E">
      <w:pPr>
        <w:pStyle w:val="ListParagraph"/>
        <w:numPr>
          <w:ilvl w:val="0"/>
          <w:numId w:val="1"/>
        </w:numPr>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 xml:space="preserve">Millennium Ecosystem Assessment (MEA). (2005). Ecosystems and Human Well-being: Synthesis. Washington, DC: Island Press, </w:t>
      </w:r>
      <w:r w:rsidR="0000609E" w:rsidRPr="007B0BF3">
        <w:rPr>
          <w:rFonts w:ascii="Times New Roman" w:hAnsi="Times New Roman" w:cs="Times New Roman"/>
          <w:color w:val="000000" w:themeColor="text1"/>
          <w:lang w:val="en-GB"/>
        </w:rPr>
        <w:t>Available</w:t>
      </w:r>
      <w:r w:rsidRPr="007B0BF3">
        <w:rPr>
          <w:rFonts w:ascii="Times New Roman" w:hAnsi="Times New Roman" w:cs="Times New Roman"/>
          <w:color w:val="000000" w:themeColor="text1"/>
          <w:lang w:val="en-GB"/>
        </w:rPr>
        <w:t xml:space="preserve"> at </w:t>
      </w:r>
      <w:hyperlink r:id="rId49" w:history="1">
        <w:r w:rsidR="007331F3" w:rsidRPr="007B0BF3">
          <w:rPr>
            <w:rStyle w:val="Hyperlink"/>
            <w:rFonts w:ascii="Times New Roman" w:hAnsi="Times New Roman" w:cs="Times New Roman"/>
            <w:lang w:val="en-GB"/>
          </w:rPr>
          <w:t>https://www.millenniumassessment.org</w:t>
        </w:r>
      </w:hyperlink>
      <w:r w:rsidR="007331F3" w:rsidRPr="007B0BF3">
        <w:rPr>
          <w:rFonts w:ascii="Times New Roman" w:hAnsi="Times New Roman" w:cs="Times New Roman"/>
          <w:color w:val="000000" w:themeColor="text1"/>
          <w:lang w:val="en-GB"/>
        </w:rPr>
        <w:t>.</w:t>
      </w:r>
    </w:p>
    <w:p w14:paraId="19F2D3AF" w14:textId="793A95C5" w:rsidR="00F566FE" w:rsidRPr="007B0BF3" w:rsidRDefault="007331F3" w:rsidP="007331F3">
      <w:pPr>
        <w:pStyle w:val="ListParagraph"/>
        <w:numPr>
          <w:ilvl w:val="0"/>
          <w:numId w:val="1"/>
        </w:numPr>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da-DK"/>
        </w:rPr>
        <w:t xml:space="preserve">Jonathan A. Foley et al. </w:t>
      </w:r>
      <w:r w:rsidRPr="007B0BF3">
        <w:rPr>
          <w:rFonts w:ascii="Times New Roman" w:hAnsi="Times New Roman" w:cs="Times New Roman"/>
          <w:color w:val="000000" w:themeColor="text1"/>
          <w:lang w:val="en-GB"/>
        </w:rPr>
        <w:t xml:space="preserve">(2005). Global Consequences of Land Use. </w:t>
      </w:r>
      <w:r w:rsidRPr="007B0BF3">
        <w:rPr>
          <w:rFonts w:ascii="Times New Roman" w:hAnsi="Times New Roman" w:cs="Times New Roman"/>
          <w:color w:val="000000" w:themeColor="text1"/>
          <w:lang w:val="nl"/>
        </w:rPr>
        <w:t>Science vol. 309, pp. 570-574.DOI:10.1126/science.1111772.</w:t>
      </w:r>
    </w:p>
    <w:p w14:paraId="5403D6E7" w14:textId="6FE0F4E4" w:rsidR="00305AA9" w:rsidRPr="007B0BF3" w:rsidRDefault="00305AA9" w:rsidP="007331F3">
      <w:pPr>
        <w:pStyle w:val="ListParagraph"/>
        <w:numPr>
          <w:ilvl w:val="0"/>
          <w:numId w:val="1"/>
        </w:numPr>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pl-PL"/>
        </w:rPr>
        <w:t xml:space="preserve">Brady, N. C., Weil, R. R. (2016). </w:t>
      </w:r>
      <w:r w:rsidRPr="007B0BF3">
        <w:rPr>
          <w:rFonts w:ascii="Times New Roman" w:hAnsi="Times New Roman" w:cs="Times New Roman"/>
          <w:color w:val="000000" w:themeColor="text1"/>
          <w:lang w:val="en-GB"/>
        </w:rPr>
        <w:t xml:space="preserve">The Nature and Properties of Soils (15th ed.). </w:t>
      </w:r>
      <w:r w:rsidRPr="007B0BF3">
        <w:rPr>
          <w:rFonts w:ascii="Times New Roman" w:hAnsi="Times New Roman" w:cs="Times New Roman"/>
          <w:color w:val="000000" w:themeColor="text1"/>
          <w:lang w:val="nl"/>
        </w:rPr>
        <w:t>Pearson Education.</w:t>
      </w:r>
    </w:p>
    <w:p w14:paraId="11982A85" w14:textId="41848C4D" w:rsidR="0088346C" w:rsidRPr="000C1C0A" w:rsidRDefault="00824E8E" w:rsidP="3C5DB29E">
      <w:pPr>
        <w:pStyle w:val="ListParagraph"/>
        <w:numPr>
          <w:ilvl w:val="0"/>
          <w:numId w:val="1"/>
        </w:numPr>
        <w:jc w:val="both"/>
        <w:rPr>
          <w:rFonts w:ascii="Times New Roman" w:hAnsi="Times New Roman" w:cs="Times New Roman"/>
          <w:color w:val="000000" w:themeColor="text1"/>
          <w:lang w:val="en-GB"/>
        </w:rPr>
      </w:pPr>
      <w:r w:rsidRPr="007B0BF3">
        <w:rPr>
          <w:rFonts w:ascii="Times New Roman" w:hAnsi="Times New Roman" w:cs="Times New Roman"/>
          <w:color w:val="000000" w:themeColor="text1"/>
          <w:lang w:val="en-GB"/>
        </w:rPr>
        <w:t>EU Mission Soil Deal for Europe</w:t>
      </w:r>
      <w:r w:rsidR="000E14A7" w:rsidRPr="007B0BF3">
        <w:rPr>
          <w:rFonts w:ascii="Times New Roman" w:hAnsi="Times New Roman" w:cs="Times New Roman"/>
          <w:color w:val="000000" w:themeColor="text1"/>
          <w:lang w:val="en-GB"/>
        </w:rPr>
        <w:t xml:space="preserve">. 100 living labs and lighthouses to lead the transition towards </w:t>
      </w:r>
      <w:r w:rsidR="0000609E" w:rsidRPr="007B0BF3">
        <w:rPr>
          <w:rFonts w:ascii="Times New Roman" w:hAnsi="Times New Roman" w:cs="Times New Roman"/>
          <w:color w:val="000000" w:themeColor="text1"/>
          <w:lang w:val="en-GB"/>
        </w:rPr>
        <w:t>healthy soils</w:t>
      </w:r>
      <w:r w:rsidR="000E14A7" w:rsidRPr="007B0BF3">
        <w:rPr>
          <w:rFonts w:ascii="Times New Roman" w:hAnsi="Times New Roman" w:cs="Times New Roman"/>
          <w:color w:val="000000" w:themeColor="text1"/>
          <w:lang w:val="en-GB"/>
        </w:rPr>
        <w:t xml:space="preserve"> by 2023.</w:t>
      </w:r>
      <w:r w:rsidRPr="007B0BF3">
        <w:rPr>
          <w:rFonts w:ascii="Times New Roman" w:hAnsi="Times New Roman" w:cs="Times New Roman"/>
          <w:color w:val="000000" w:themeColor="text1"/>
          <w:lang w:val="en-GB"/>
        </w:rPr>
        <w:t xml:space="preserve"> Implementation plan</w:t>
      </w:r>
      <w:r w:rsidR="006E6A5C" w:rsidRPr="007B0BF3">
        <w:rPr>
          <w:rFonts w:ascii="Times New Roman" w:hAnsi="Times New Roman" w:cs="Times New Roman"/>
          <w:color w:val="000000" w:themeColor="text1"/>
          <w:lang w:val="en-GB"/>
        </w:rPr>
        <w:t xml:space="preserve">. Available at </w:t>
      </w:r>
      <w:hyperlink r:id="rId50">
        <w:r w:rsidR="006E6A5C" w:rsidRPr="007B0BF3">
          <w:rPr>
            <w:rStyle w:val="Hyperlink"/>
            <w:rFonts w:ascii="Times New Roman" w:hAnsi="Times New Roman" w:cs="Times New Roman"/>
            <w:lang w:val="en-GB"/>
          </w:rPr>
          <w:t>https://research-and-innovation.ec.europa.eu/knowledge-publications-tools-and-data/publications/all-publications/implementation-plans-eu-missions_en</w:t>
        </w:r>
      </w:hyperlink>
    </w:p>
    <w:sectPr w:rsidR="0088346C" w:rsidRPr="000C1C0A" w:rsidSect="00005425">
      <w:headerReference w:type="default" r:id="rId51"/>
      <w:foot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877CF" w14:textId="77777777" w:rsidR="009B3073" w:rsidRDefault="009B3073" w:rsidP="00D45FCE">
      <w:pPr>
        <w:spacing w:after="0" w:line="240" w:lineRule="auto"/>
      </w:pPr>
      <w:r>
        <w:separator/>
      </w:r>
    </w:p>
  </w:endnote>
  <w:endnote w:type="continuationSeparator" w:id="0">
    <w:p w14:paraId="7A2779AD" w14:textId="77777777" w:rsidR="009B3073" w:rsidRDefault="009B3073" w:rsidP="00D45FCE">
      <w:pPr>
        <w:spacing w:after="0" w:line="240" w:lineRule="auto"/>
      </w:pPr>
      <w:r>
        <w:continuationSeparator/>
      </w:r>
    </w:p>
  </w:endnote>
  <w:endnote w:type="continuationNotice" w:id="1">
    <w:p w14:paraId="113E5AB8" w14:textId="77777777" w:rsidR="009B3073" w:rsidRDefault="009B3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56852" w14:textId="77777777" w:rsidR="009B3073" w:rsidRDefault="009B3073" w:rsidP="00D45FCE">
      <w:pPr>
        <w:spacing w:after="0" w:line="240" w:lineRule="auto"/>
      </w:pPr>
      <w:r>
        <w:separator/>
      </w:r>
    </w:p>
  </w:footnote>
  <w:footnote w:type="continuationSeparator" w:id="0">
    <w:p w14:paraId="2CA29274" w14:textId="77777777" w:rsidR="009B3073" w:rsidRDefault="009B3073" w:rsidP="00D45FCE">
      <w:pPr>
        <w:spacing w:after="0" w:line="240" w:lineRule="auto"/>
      </w:pPr>
      <w:r>
        <w:continuationSeparator/>
      </w:r>
    </w:p>
  </w:footnote>
  <w:footnote w:type="continuationNotice" w:id="1">
    <w:p w14:paraId="71BA7BB7" w14:textId="77777777" w:rsidR="009B3073" w:rsidRDefault="009B30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45DB7"/>
    <w:rsid w:val="0035414B"/>
    <w:rsid w:val="00373999"/>
    <w:rsid w:val="00381B1D"/>
    <w:rsid w:val="00392C41"/>
    <w:rsid w:val="0039340A"/>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5BAB"/>
    <w:rsid w:val="006A78A6"/>
    <w:rsid w:val="006C4BFC"/>
    <w:rsid w:val="006D24D6"/>
    <w:rsid w:val="006E6A5C"/>
    <w:rsid w:val="006E7F98"/>
    <w:rsid w:val="006F116C"/>
    <w:rsid w:val="006F2E74"/>
    <w:rsid w:val="006F7FFC"/>
    <w:rsid w:val="007058B1"/>
    <w:rsid w:val="007331F3"/>
    <w:rsid w:val="00742F73"/>
    <w:rsid w:val="0074491D"/>
    <w:rsid w:val="00756CD9"/>
    <w:rsid w:val="00767523"/>
    <w:rsid w:val="00771247"/>
    <w:rsid w:val="00782440"/>
    <w:rsid w:val="00783BF9"/>
    <w:rsid w:val="007B0BF3"/>
    <w:rsid w:val="007C06B2"/>
    <w:rsid w:val="007C4345"/>
    <w:rsid w:val="007C4628"/>
    <w:rsid w:val="007D4ACB"/>
    <w:rsid w:val="007F064D"/>
    <w:rsid w:val="00814E64"/>
    <w:rsid w:val="00824E8E"/>
    <w:rsid w:val="00830090"/>
    <w:rsid w:val="008341D1"/>
    <w:rsid w:val="008366AC"/>
    <w:rsid w:val="0084208D"/>
    <w:rsid w:val="008639D3"/>
    <w:rsid w:val="0087744D"/>
    <w:rsid w:val="0088346C"/>
    <w:rsid w:val="008A1794"/>
    <w:rsid w:val="008D2247"/>
    <w:rsid w:val="008E573B"/>
    <w:rsid w:val="00901C14"/>
    <w:rsid w:val="0090512F"/>
    <w:rsid w:val="009072D9"/>
    <w:rsid w:val="009745EE"/>
    <w:rsid w:val="00976B7B"/>
    <w:rsid w:val="009A04B6"/>
    <w:rsid w:val="009A1009"/>
    <w:rsid w:val="009B0042"/>
    <w:rsid w:val="009B1027"/>
    <w:rsid w:val="009B3073"/>
    <w:rsid w:val="009B5DF5"/>
    <w:rsid w:val="009F2FB0"/>
    <w:rsid w:val="009F3CB3"/>
    <w:rsid w:val="009F6001"/>
    <w:rsid w:val="00A10227"/>
    <w:rsid w:val="00A1160B"/>
    <w:rsid w:val="00A27E80"/>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oilcare-project.eu/resources/glossary" TargetMode="External"/><Relationship Id="rId26" Type="http://schemas.openxmlformats.org/officeDocument/2006/relationships/hyperlink" Target="https://www.landis.org.uk/downloads/downloads/Glossary.pdf" TargetMode="External"/><Relationship Id="rId39" Type="http://schemas.openxmlformats.org/officeDocument/2006/relationships/hyperlink" Target="https://www.uu.nl/en/research/transdisciplinary-field-guide/get-started/what-is-transdisciplinary-research" TargetMode="External"/><Relationship Id="rId21" Type="http://schemas.openxmlformats.org/officeDocument/2006/relationships/hyperlink" Target="https://link.springer.com/chapter/10.1007/978-3-031-18923-4_6" TargetMode="External"/><Relationship Id="rId34" Type="http://schemas.openxmlformats.org/officeDocument/2006/relationships/hyperlink" Target="https://www.sbcguidance.org/understand/social-and-behaviour-change-communication" TargetMode="External"/><Relationship Id="rId42" Type="http://schemas.openxmlformats.org/officeDocument/2006/relationships/hyperlink" Target="https://doi.org/10.1007/978-3-030-62397-5_26" TargetMode="External"/><Relationship Id="rId47" Type="http://schemas.openxmlformats.org/officeDocument/2006/relationships/hyperlink" Target="https://doi.org/10.2489/jswc.2020.0620A" TargetMode="External"/><Relationship Id="rId50" Type="http://schemas.openxmlformats.org/officeDocument/2006/relationships/hyperlink" Target="https://research-and-innovation.ec.europa.eu/knowledge-publications-tools-and-data/publications/all-publications/implementation-plans-eu-missions_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bsoil.eu/glossary/" TargetMode="External"/><Relationship Id="rId29" Type="http://schemas.openxmlformats.org/officeDocument/2006/relationships/hyperlink" Target="https://doi.org/10.4236/AJPS.2018.99140" TargetMode="External"/><Relationship Id="rId11" Type="http://schemas.openxmlformats.org/officeDocument/2006/relationships/image" Target="media/image1.png"/><Relationship Id="rId24" Type="http://schemas.openxmlformats.org/officeDocument/2006/relationships/hyperlink" Target="https://www.eurovia.org/wp-content/uploads/2016/11/defining-land-grabs.pdf" TargetMode="External"/><Relationship Id="rId32" Type="http://schemas.openxmlformats.org/officeDocument/2006/relationships/hyperlink" Target="https://doi.org/10.3389/fenvs.2022.1028839" TargetMode="External"/><Relationship Id="rId37" Type="http://schemas.openxmlformats.org/officeDocument/2006/relationships/hyperlink" Target="https://www.oed.com/search/dictionary" TargetMode="External"/><Relationship Id="rId40" Type="http://schemas.openxmlformats.org/officeDocument/2006/relationships/hyperlink" Target="https://web.mit.edu/jrankin/www/interdisciplinary/interdisc_Newell.pdf" TargetMode="External"/><Relationship Id="rId45" Type="http://schemas.openxmlformats.org/officeDocument/2006/relationships/hyperlink" Target="https://doi.org/10.4060/cb4476e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andmarkproject.eu/landmark-glossary/" TargetMode="External"/><Relationship Id="rId31" Type="http://schemas.openxmlformats.org/officeDocument/2006/relationships/hyperlink" Target="https://doi.org/10.1108/jefas-12-2021-0267" TargetMode="External"/><Relationship Id="rId44" Type="http://schemas.openxmlformats.org/officeDocument/2006/relationships/hyperlink" Target="https://doi.org/10.1371/journal.pone.0152637"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07/978-3-031-18923-4_6" TargetMode="External"/><Relationship Id="rId22" Type="http://schemas.openxmlformats.org/officeDocument/2006/relationships/hyperlink" Target="https://doi.org/10.3390/agronomy12112595" TargetMode="External"/><Relationship Id="rId27" Type="http://schemas.openxmlformats.org/officeDocument/2006/relationships/hyperlink" Target="https://doi.org/10.1038/s43247-024-01405-8" TargetMode="External"/><Relationship Id="rId30" Type="http://schemas.openxmlformats.org/officeDocument/2006/relationships/hyperlink" Target="https://doi.org/10.1111/jvs.12727" TargetMode="External"/><Relationship Id="rId35" Type="http://schemas.openxmlformats.org/officeDocument/2006/relationships/hyperlink" Target="https://techresearchonline.com/blog/10-new-ways-to-communicate-digitally-age-of-digital-technology/" TargetMode="External"/><Relationship Id="rId43" Type="http://schemas.openxmlformats.org/officeDocument/2006/relationships/hyperlink" Target="https://doi.org/10.1007/s11625-020-00794-x" TargetMode="External"/><Relationship Id="rId48" Type="http://schemas.openxmlformats.org/officeDocument/2006/relationships/hyperlink" Target="https://doi.org/10.1016/j.anifeedsci.2011.04.036"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landmarkproject.eu/soil-functions-concept/" TargetMode="External"/><Relationship Id="rId17" Type="http://schemas.openxmlformats.org/officeDocument/2006/relationships/hyperlink" Target="https://soilhealthbenchmarks.eu/glossary/" TargetMode="External"/><Relationship Id="rId25" Type="http://schemas.openxmlformats.org/officeDocument/2006/relationships/hyperlink" Target="https://doi.org/10.1080/10643389.2023.2228651" TargetMode="External"/><Relationship Id="rId33" Type="http://schemas.openxmlformats.org/officeDocument/2006/relationships/hyperlink" Target="https://doi.org/10.1080/03004279.2023.2186972" TargetMode="External"/><Relationship Id="rId38" Type="http://schemas.openxmlformats.org/officeDocument/2006/relationships/hyperlink" Target="https://www.who.int/teams/noncommunicable-diseases/sensory-functions-disability-and-rehabilitation/world-report-on-disability" TargetMode="External"/><Relationship Id="rId46" Type="http://schemas.openxmlformats.org/officeDocument/2006/relationships/hyperlink" Target="https://doi.org/10.1126/science.1097396" TargetMode="External"/><Relationship Id="rId20" Type="http://schemas.openxmlformats.org/officeDocument/2006/relationships/hyperlink" Target="https://doi.org/10.1007/978-3-031-18923-4_6" TargetMode="External"/><Relationship Id="rId41" Type="http://schemas.openxmlformats.org/officeDocument/2006/relationships/hyperlink" Target="http://dx.doi.org/10.1201/b125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nk.springer.com/chapter/10.1007/978-3-031-18923-4_6/figures/4" TargetMode="External"/><Relationship Id="rId23" Type="http://schemas.openxmlformats.org/officeDocument/2006/relationships/hyperlink" Target="https://ohioline.osu.edu/factsheet/SAG-19" TargetMode="External"/><Relationship Id="rId28" Type="http://schemas.openxmlformats.org/officeDocument/2006/relationships/hyperlink" Target="https://doi.org/10.3390/agriculture10090394" TargetMode="External"/><Relationship Id="rId36" Type="http://schemas.openxmlformats.org/officeDocument/2006/relationships/hyperlink" Target="https://doi.org/10.26522/ssj.v15i2.2657" TargetMode="External"/><Relationship Id="rId49" Type="http://schemas.openxmlformats.org/officeDocument/2006/relationships/hyperlink" Target="https://www.millenniumassessmen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customXml/itemProps2.xml><?xml version="1.0" encoding="utf-8"?>
<ds:datastoreItem xmlns:ds="http://schemas.openxmlformats.org/officeDocument/2006/customXml" ds:itemID="{C615C224-07A5-4F12-8EBE-81AF1FC7077B}"/>
</file>

<file path=customXml/itemProps3.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4.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8789</Words>
  <Characters>50103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5</cp:revision>
  <dcterms:created xsi:type="dcterms:W3CDTF">2025-03-24T12:06:00Z</dcterms:created>
  <dcterms:modified xsi:type="dcterms:W3CDTF">2025-04-02T10:04:00Z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