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CC2F5" w14:textId="77777777" w:rsidR="00AD6E49" w:rsidRPr="00032AD9" w:rsidRDefault="00AD6E49" w:rsidP="00AD6E49">
      <w:pPr>
        <w:spacing w:after="0" w:line="520" w:lineRule="exact"/>
        <w:jc w:val="center"/>
        <w:rPr>
          <w:rFonts w:ascii="Times New Roman" w:eastAsiaTheme="minorEastAsia" w:hAnsi="Times New Roman" w:cs="Times New Roman"/>
          <w:b/>
          <w:bCs/>
          <w:color w:val="00FFCC"/>
          <w:kern w:val="24"/>
          <w:position w:val="1"/>
          <w:sz w:val="56"/>
          <w:szCs w:val="56"/>
          <w:lang w:val="en-GB" w:eastAsia="pl-PL"/>
        </w:rPr>
      </w:pPr>
    </w:p>
    <w:p w14:paraId="7AA019FA" w14:textId="77777777" w:rsidR="00040F5F" w:rsidRPr="00032AD9" w:rsidRDefault="00040F5F" w:rsidP="00040F5F">
      <w:pPr>
        <w:spacing w:after="0" w:line="520" w:lineRule="exact"/>
        <w:jc w:val="center"/>
        <w:rPr>
          <w:rFonts w:ascii="Times New Roman" w:eastAsiaTheme="minorEastAsia" w:hAnsi="Times New Roman" w:cs="Times New Roman"/>
          <w:b/>
          <w:bCs/>
          <w:color w:val="8DD873" w:themeColor="accent6" w:themeTint="99"/>
          <w:kern w:val="24"/>
          <w:position w:val="1"/>
          <w:sz w:val="56"/>
          <w:szCs w:val="56"/>
          <w:lang w:val="en-GB" w:eastAsia="pl-PL"/>
        </w:rPr>
      </w:pPr>
    </w:p>
    <w:p w14:paraId="6B117817" w14:textId="77777777" w:rsidR="00AD6E49" w:rsidRPr="00032AD9" w:rsidRDefault="00AD6E49" w:rsidP="00040F5F">
      <w:pPr>
        <w:spacing w:after="0" w:line="520" w:lineRule="exact"/>
        <w:jc w:val="center"/>
        <w:rPr>
          <w:rFonts w:ascii="Times New Roman" w:eastAsiaTheme="minorEastAsia" w:hAnsi="Times New Roman" w:cs="Times New Roman"/>
          <w:b/>
          <w:bCs/>
          <w:color w:val="8DD873" w:themeColor="accent6" w:themeTint="99"/>
          <w:kern w:val="24"/>
          <w:position w:val="1"/>
          <w:sz w:val="56"/>
          <w:szCs w:val="56"/>
          <w:lang w:val="en-GB" w:eastAsia="pl-PL"/>
        </w:rPr>
      </w:pPr>
      <w:r w:rsidRPr="00032AD9">
        <w:rPr>
          <w:rFonts w:ascii="Times New Roman" w:eastAsiaTheme="minorEastAsia" w:hAnsi="Times New Roman" w:cs="Times New Roman"/>
          <w:b/>
          <w:bCs/>
          <w:color w:val="8DD873" w:themeColor="accent6" w:themeTint="99"/>
          <w:kern w:val="24"/>
          <w:position w:val="1"/>
          <w:sz w:val="56"/>
          <w:szCs w:val="56"/>
          <w:lang w:val="sr-Cyrl" w:eastAsia="pl-PL"/>
        </w:rPr>
        <w:t>Глосар термина</w:t>
      </w:r>
    </w:p>
    <w:p w14:paraId="1838F654" w14:textId="77777777" w:rsidR="00040F5F" w:rsidRPr="00032AD9" w:rsidRDefault="00040F5F" w:rsidP="00040F5F">
      <w:pPr>
        <w:spacing w:after="0" w:line="520" w:lineRule="exact"/>
        <w:jc w:val="center"/>
        <w:rPr>
          <w:rFonts w:ascii="Times New Roman" w:eastAsia="Times New Roman" w:hAnsi="Times New Roman" w:cs="Times New Roman"/>
          <w:color w:val="8DD873" w:themeColor="accent6" w:themeTint="99"/>
          <w:sz w:val="24"/>
          <w:szCs w:val="24"/>
          <w:lang w:val="en-GB" w:eastAsia="pl-PL"/>
        </w:rPr>
      </w:pPr>
    </w:p>
    <w:tbl>
      <w:tblPr>
        <w:tblStyle w:val="TableGrid"/>
        <w:tblW w:w="976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88"/>
        <w:gridCol w:w="943"/>
        <w:gridCol w:w="5615"/>
        <w:gridCol w:w="616"/>
      </w:tblGrid>
      <w:tr w:rsidR="002A67F8" w:rsidRPr="00032AD9" w14:paraId="54E40605" w14:textId="77777777" w:rsidTr="2C6C7817">
        <w:tc>
          <w:tcPr>
            <w:tcW w:w="2062" w:type="dxa"/>
          </w:tcPr>
          <w:p w14:paraId="5C4EC49D" w14:textId="77777777" w:rsidR="002A67F8" w:rsidRPr="00032AD9" w:rsidRDefault="002A67F8" w:rsidP="002A67F8">
            <w:pPr>
              <w:jc w:val="center"/>
              <w:rPr>
                <w:rFonts w:ascii="Times New Roman" w:hAnsi="Times New Roman" w:cs="Times New Roman"/>
                <w:b/>
                <w:color w:val="3A7C22" w:themeColor="accent6" w:themeShade="BF"/>
                <w:lang w:val="en-GB"/>
              </w:rPr>
            </w:pPr>
          </w:p>
        </w:tc>
        <w:tc>
          <w:tcPr>
            <w:tcW w:w="1469" w:type="dxa"/>
          </w:tcPr>
          <w:p w14:paraId="54D99B8B" w14:textId="77777777" w:rsidR="002A67F8" w:rsidRPr="00032AD9" w:rsidRDefault="002A67F8" w:rsidP="002A67F8">
            <w:pPr>
              <w:jc w:val="center"/>
              <w:rPr>
                <w:rFonts w:ascii="Times New Roman" w:hAnsi="Times New Roman" w:cs="Times New Roman"/>
                <w:lang w:val="en-GB"/>
              </w:rPr>
            </w:pPr>
          </w:p>
        </w:tc>
        <w:tc>
          <w:tcPr>
            <w:tcW w:w="5615" w:type="dxa"/>
          </w:tcPr>
          <w:p w14:paraId="3B30FB8A" w14:textId="77777777" w:rsidR="002A67F8" w:rsidRPr="00032AD9" w:rsidRDefault="002A67F8" w:rsidP="002A67F8">
            <w:pPr>
              <w:jc w:val="center"/>
              <w:rPr>
                <w:rFonts w:ascii="Times New Roman" w:hAnsi="Times New Roman" w:cs="Times New Roman"/>
                <w:lang w:val="en-GB"/>
              </w:rPr>
            </w:pPr>
          </w:p>
        </w:tc>
        <w:tc>
          <w:tcPr>
            <w:tcW w:w="616" w:type="dxa"/>
          </w:tcPr>
          <w:p w14:paraId="612EA104" w14:textId="77777777" w:rsidR="002A67F8" w:rsidRPr="00032AD9" w:rsidRDefault="002A67F8" w:rsidP="002A67F8">
            <w:pPr>
              <w:jc w:val="center"/>
              <w:rPr>
                <w:rFonts w:ascii="Times New Roman" w:hAnsi="Times New Roman" w:cs="Times New Roman"/>
                <w:lang w:val="en-GB"/>
              </w:rPr>
            </w:pPr>
          </w:p>
        </w:tc>
      </w:tr>
      <w:tr w:rsidR="00F343D3" w:rsidRPr="00032AD9" w14:paraId="4149FE45" w14:textId="77777777" w:rsidTr="2C6C7817">
        <w:tc>
          <w:tcPr>
            <w:tcW w:w="2062" w:type="dxa"/>
          </w:tcPr>
          <w:p w14:paraId="6FC664F4"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Агрегати земљишта</w:t>
            </w:r>
          </w:p>
        </w:tc>
        <w:tc>
          <w:tcPr>
            <w:tcW w:w="1469" w:type="dxa"/>
          </w:tcPr>
          <w:p w14:paraId="291BCB25" w14:textId="77777777" w:rsidR="00F343D3" w:rsidRPr="00032AD9" w:rsidRDefault="00F343D3" w:rsidP="00525540">
            <w:pPr>
              <w:jc w:val="both"/>
              <w:rPr>
                <w:rFonts w:ascii="Times New Roman" w:hAnsi="Times New Roman" w:cs="Times New Roman"/>
                <w:lang w:val="en-GB"/>
              </w:rPr>
            </w:pPr>
          </w:p>
        </w:tc>
        <w:tc>
          <w:tcPr>
            <w:tcW w:w="5615" w:type="dxa"/>
          </w:tcPr>
          <w:p w14:paraId="2A4D1080" w14:textId="77777777" w:rsidR="00F343D3" w:rsidRPr="00F343D3" w:rsidRDefault="00F343D3" w:rsidP="00525540">
            <w:pPr>
              <w:jc w:val="both"/>
              <w:rPr>
                <w:rFonts w:ascii="Times New Roman" w:hAnsi="Times New Roman" w:cs="Times New Roman"/>
                <w:lang w:val="sr-Cyrl"/>
              </w:rPr>
            </w:pPr>
            <w:r w:rsidRPr="00032AD9">
              <w:rPr>
                <w:rFonts w:ascii="Times New Roman" w:hAnsi="Times New Roman" w:cs="Times New Roman"/>
                <w:lang w:val="sr-Cyrl"/>
              </w:rPr>
              <w:t>А се састоје од две или више честица земљишта повезаних разним силама. Агрегати земљишта су педови земљишта у читавом низу облика и величина.</w:t>
            </w:r>
          </w:p>
        </w:tc>
        <w:tc>
          <w:tcPr>
            <w:tcW w:w="616" w:type="dxa"/>
          </w:tcPr>
          <w:p w14:paraId="697ED1F8"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3</w:t>
            </w:r>
          </w:p>
        </w:tc>
      </w:tr>
      <w:tr w:rsidR="00F343D3" w:rsidRPr="00032AD9" w14:paraId="644C0BB0" w14:textId="77777777" w:rsidTr="2C6C7817">
        <w:tc>
          <w:tcPr>
            <w:tcW w:w="2062" w:type="dxa"/>
          </w:tcPr>
          <w:p w14:paraId="4EAC7B7A"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Агрошумарство</w:t>
            </w:r>
          </w:p>
        </w:tc>
        <w:tc>
          <w:tcPr>
            <w:tcW w:w="1469" w:type="dxa"/>
          </w:tcPr>
          <w:p w14:paraId="4A09CC10" w14:textId="77777777" w:rsidR="00F343D3" w:rsidRPr="00032AD9" w:rsidRDefault="00F343D3" w:rsidP="002A67F8">
            <w:pPr>
              <w:jc w:val="both"/>
              <w:rPr>
                <w:rFonts w:ascii="Times New Roman" w:hAnsi="Times New Roman" w:cs="Times New Roman"/>
                <w:lang w:val="en-GB"/>
              </w:rPr>
            </w:pPr>
          </w:p>
        </w:tc>
        <w:tc>
          <w:tcPr>
            <w:tcW w:w="5615" w:type="dxa"/>
          </w:tcPr>
          <w:p w14:paraId="74E66C5C" w14:textId="77777777" w:rsidR="00F343D3" w:rsidRPr="00032AD9" w:rsidRDefault="00F343D3" w:rsidP="002A67F8">
            <w:pPr>
              <w:jc w:val="both"/>
              <w:rPr>
                <w:rFonts w:ascii="Times New Roman" w:hAnsi="Times New Roman" w:cs="Times New Roman"/>
                <w:lang w:val="sr-Cyrl"/>
              </w:rPr>
            </w:pPr>
            <w:r w:rsidRPr="00032AD9">
              <w:rPr>
                <w:rFonts w:ascii="Times New Roman" w:hAnsi="Times New Roman" w:cs="Times New Roman"/>
                <w:lang w:val="sr-Cyrl"/>
              </w:rPr>
              <w:t>Тип коришћења земљишта који комбинује производњу на истој парцели, од годишњих пољопривредних активности (као што су гајење усева и испаша стоке) и од одложене дугорочне производње од стабала (на пример, дрвна грађа и услужне делатности). То се постиже или садњом стабала на пољопривредном земљишту или обрадом земљишта (примера ради, након проређивања шуме) на шумским подручјима. Парцеле које комбинују обрадиво земљиште са ротацијом усева и шумска стабла називају се силво-арабилне парцеле, док су шумске парцеле са пашњацима под крошњама стабала познате као силво-пасторалне парцеле.</w:t>
            </w:r>
          </w:p>
        </w:tc>
        <w:tc>
          <w:tcPr>
            <w:tcW w:w="616" w:type="dxa"/>
          </w:tcPr>
          <w:p w14:paraId="46D7EA80"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w:t>
            </w:r>
          </w:p>
        </w:tc>
      </w:tr>
      <w:tr w:rsidR="00F343D3" w:rsidRPr="00032AD9" w14:paraId="1A4F3D86" w14:textId="77777777" w:rsidTr="2C6C7817">
        <w:tc>
          <w:tcPr>
            <w:tcW w:w="2062" w:type="dxa"/>
          </w:tcPr>
          <w:p w14:paraId="54693AF3"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Актери знања и образовања</w:t>
            </w:r>
          </w:p>
        </w:tc>
        <w:tc>
          <w:tcPr>
            <w:tcW w:w="1469" w:type="dxa"/>
          </w:tcPr>
          <w:p w14:paraId="64075836" w14:textId="77777777" w:rsidR="00F343D3" w:rsidRPr="00032AD9" w:rsidRDefault="00F343D3" w:rsidP="00525540">
            <w:pPr>
              <w:jc w:val="both"/>
              <w:rPr>
                <w:rFonts w:ascii="Times New Roman" w:hAnsi="Times New Roman" w:cs="Times New Roman"/>
                <w:lang w:val="en-GB"/>
              </w:rPr>
            </w:pPr>
          </w:p>
        </w:tc>
        <w:tc>
          <w:tcPr>
            <w:tcW w:w="5615" w:type="dxa"/>
          </w:tcPr>
          <w:p w14:paraId="08D00AF4"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Ова група се састоји од академских и истраживачких институција с фокусом на науку, пољопривреду, шумарство или студије животне средине, чији је циљ стварање новог знања и разумевања у погледу питања руковођења земљиштем, укључујући здравље земљишта, одрживо коришћење земље и праксу очувања, путем истраживања, образовања и дисеминације.</w:t>
            </w:r>
          </w:p>
          <w:p w14:paraId="3040E55E"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Примери: научници, академски радници, истраживачи и студенти универзитета, истраживачке институције, пружаоци средњошколског образовања, организације цивилног друштва, итд.</w:t>
            </w:r>
          </w:p>
        </w:tc>
        <w:tc>
          <w:tcPr>
            <w:tcW w:w="616" w:type="dxa"/>
          </w:tcPr>
          <w:p w14:paraId="44AC1FDD"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2</w:t>
            </w:r>
          </w:p>
        </w:tc>
      </w:tr>
      <w:tr w:rsidR="00F343D3" w:rsidRPr="00032AD9" w14:paraId="32F00F88" w14:textId="77777777" w:rsidTr="2C6C7817">
        <w:tc>
          <w:tcPr>
            <w:tcW w:w="2062" w:type="dxa"/>
          </w:tcPr>
          <w:p w14:paraId="6CF80828"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Антропоген</w:t>
            </w:r>
          </w:p>
        </w:tc>
        <w:tc>
          <w:tcPr>
            <w:tcW w:w="1469" w:type="dxa"/>
          </w:tcPr>
          <w:p w14:paraId="025DD581" w14:textId="77777777" w:rsidR="00F343D3" w:rsidRPr="00032AD9" w:rsidRDefault="00F343D3" w:rsidP="002A67F8">
            <w:pPr>
              <w:jc w:val="both"/>
              <w:rPr>
                <w:rFonts w:ascii="Times New Roman" w:hAnsi="Times New Roman" w:cs="Times New Roman"/>
                <w:lang w:val="en-GB"/>
              </w:rPr>
            </w:pPr>
          </w:p>
        </w:tc>
        <w:tc>
          <w:tcPr>
            <w:tcW w:w="5615" w:type="dxa"/>
          </w:tcPr>
          <w:p w14:paraId="64D469C9" w14:textId="77777777" w:rsidR="00F343D3" w:rsidRPr="00032AD9" w:rsidRDefault="00F343D3" w:rsidP="002A67F8">
            <w:pPr>
              <w:jc w:val="both"/>
              <w:rPr>
                <w:rFonts w:ascii="Times New Roman" w:hAnsi="Times New Roman" w:cs="Times New Roman"/>
                <w:lang w:val="en-GB"/>
              </w:rPr>
            </w:pPr>
            <w:r w:rsidRPr="00032AD9">
              <w:rPr>
                <w:rFonts w:ascii="Times New Roman" w:hAnsi="Times New Roman" w:cs="Times New Roman"/>
                <w:lang w:val="sr-Cyrl"/>
              </w:rPr>
              <w:t>Који су створили људи. Ако је реч о земљишту, користи се да означи услове, поремећаје или стрес који су последица људског деловања.</w:t>
            </w:r>
          </w:p>
        </w:tc>
        <w:tc>
          <w:tcPr>
            <w:tcW w:w="616" w:type="dxa"/>
          </w:tcPr>
          <w:p w14:paraId="43EB3F81"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1,</w:t>
            </w:r>
          </w:p>
        </w:tc>
      </w:tr>
      <w:tr w:rsidR="00F343D3" w:rsidRPr="00032AD9" w14:paraId="5B5EF45B" w14:textId="77777777" w:rsidTr="2C6C7817">
        <w:tc>
          <w:tcPr>
            <w:tcW w:w="2062" w:type="dxa"/>
          </w:tcPr>
          <w:p w14:paraId="3E909BD0" w14:textId="77777777" w:rsidR="00F343D3" w:rsidRPr="00032AD9" w:rsidRDefault="00F343D3" w:rsidP="4F734429">
            <w:pPr>
              <w:rPr>
                <w:rFonts w:ascii="Times New Roman" w:hAnsi="Times New Roman" w:cs="Times New Roman"/>
                <w:b/>
                <w:bCs/>
                <w:color w:val="3A7C22" w:themeColor="accent6" w:themeShade="BF"/>
                <w:lang w:val="en-GB"/>
              </w:rPr>
            </w:pPr>
            <w:r w:rsidRPr="00032AD9">
              <w:rPr>
                <w:rFonts w:ascii="Times New Roman" w:hAnsi="Times New Roman" w:cs="Times New Roman"/>
                <w:b/>
                <w:bCs/>
                <w:color w:val="3A7C22" w:themeColor="accent6" w:themeShade="BF"/>
                <w:lang w:val="sr-Cyrl"/>
              </w:rPr>
              <w:t>Апсорпција</w:t>
            </w:r>
          </w:p>
        </w:tc>
        <w:tc>
          <w:tcPr>
            <w:tcW w:w="1469" w:type="dxa"/>
          </w:tcPr>
          <w:p w14:paraId="4CB6585F" w14:textId="77777777" w:rsidR="00F343D3" w:rsidRPr="00032AD9" w:rsidRDefault="00F343D3" w:rsidP="002A67F8">
            <w:pPr>
              <w:jc w:val="both"/>
              <w:rPr>
                <w:rFonts w:ascii="Times New Roman" w:hAnsi="Times New Roman" w:cs="Times New Roman"/>
                <w:lang w:val="en-GB"/>
              </w:rPr>
            </w:pPr>
          </w:p>
        </w:tc>
        <w:tc>
          <w:tcPr>
            <w:tcW w:w="5615" w:type="dxa"/>
          </w:tcPr>
          <w:p w14:paraId="0A691E3D" w14:textId="77777777" w:rsidR="00F343D3" w:rsidRPr="00032AD9" w:rsidRDefault="00F343D3" w:rsidP="002A67F8">
            <w:pPr>
              <w:jc w:val="both"/>
              <w:rPr>
                <w:rFonts w:ascii="Times New Roman" w:hAnsi="Times New Roman" w:cs="Times New Roman"/>
                <w:lang w:val="sr-Cyrl"/>
              </w:rPr>
            </w:pPr>
            <w:r w:rsidRPr="00032AD9">
              <w:rPr>
                <w:rFonts w:ascii="Times New Roman" w:hAnsi="Times New Roman" w:cs="Times New Roman"/>
                <w:lang w:val="sr-Cyrl"/>
              </w:rPr>
              <w:t>Процес којим се атоми, молекули или јони задржавају на површини чврстих материја путем хемијских или физичких веза. Апсорпција се заснива на апсорпцији паре, гасова и неразложених молекула.</w:t>
            </w:r>
          </w:p>
        </w:tc>
        <w:tc>
          <w:tcPr>
            <w:tcW w:w="616" w:type="dxa"/>
          </w:tcPr>
          <w:p w14:paraId="7DB9C8F2"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3</w:t>
            </w:r>
          </w:p>
        </w:tc>
      </w:tr>
      <w:tr w:rsidR="00F343D3" w:rsidRPr="00032AD9" w14:paraId="66982BDB" w14:textId="77777777" w:rsidTr="2C6C7817">
        <w:tc>
          <w:tcPr>
            <w:tcW w:w="2062" w:type="dxa"/>
          </w:tcPr>
          <w:p w14:paraId="64D13E6B"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Базна сатурација</w:t>
            </w:r>
          </w:p>
        </w:tc>
        <w:tc>
          <w:tcPr>
            <w:tcW w:w="1469" w:type="dxa"/>
          </w:tcPr>
          <w:p w14:paraId="4A547646" w14:textId="77777777" w:rsidR="00F343D3" w:rsidRPr="00032AD9" w:rsidRDefault="00F343D3" w:rsidP="002A67F8">
            <w:pPr>
              <w:tabs>
                <w:tab w:val="left" w:pos="262"/>
              </w:tabs>
              <w:jc w:val="both"/>
              <w:rPr>
                <w:rFonts w:ascii="Times New Roman" w:hAnsi="Times New Roman" w:cs="Times New Roman"/>
                <w:lang w:val="en-GB"/>
              </w:rPr>
            </w:pPr>
          </w:p>
        </w:tc>
        <w:tc>
          <w:tcPr>
            <w:tcW w:w="5615" w:type="dxa"/>
          </w:tcPr>
          <w:p w14:paraId="254A2862" w14:textId="77777777" w:rsidR="00F343D3" w:rsidRPr="00032AD9" w:rsidRDefault="00F343D3" w:rsidP="002A67F8">
            <w:pPr>
              <w:tabs>
                <w:tab w:val="left" w:pos="262"/>
              </w:tabs>
              <w:jc w:val="both"/>
              <w:rPr>
                <w:rFonts w:ascii="Times New Roman" w:hAnsi="Times New Roman" w:cs="Times New Roman"/>
                <w:lang w:val="en-GB"/>
              </w:rPr>
            </w:pPr>
            <w:r w:rsidRPr="00032AD9">
              <w:rPr>
                <w:rFonts w:ascii="Times New Roman" w:hAnsi="Times New Roman" w:cs="Times New Roman"/>
                <w:lang w:val="sr-Cyrl"/>
              </w:rPr>
              <w:t>Степен у ком је земљиште са својствима катјонске размене засићено разменљивим базама (збир Ca, Mg, Na, K), изражен као проценат укупног капацитета катјонске размене.</w:t>
            </w:r>
          </w:p>
        </w:tc>
        <w:tc>
          <w:tcPr>
            <w:tcW w:w="616" w:type="dxa"/>
          </w:tcPr>
          <w:p w14:paraId="28FBFFFC"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3</w:t>
            </w:r>
          </w:p>
        </w:tc>
      </w:tr>
      <w:tr w:rsidR="00F343D3" w:rsidRPr="00032AD9" w14:paraId="7EB51254" w14:textId="77777777" w:rsidTr="2C6C7817">
        <w:tc>
          <w:tcPr>
            <w:tcW w:w="2062" w:type="dxa"/>
          </w:tcPr>
          <w:p w14:paraId="76D74B12" w14:textId="77777777" w:rsidR="00F343D3" w:rsidRPr="00032AD9" w:rsidRDefault="00F343D3" w:rsidP="00A655ED">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Биљке које обогаћују земљиште</w:t>
            </w:r>
          </w:p>
        </w:tc>
        <w:tc>
          <w:tcPr>
            <w:tcW w:w="1469" w:type="dxa"/>
          </w:tcPr>
          <w:p w14:paraId="3C67DB90" w14:textId="77777777" w:rsidR="00F343D3" w:rsidRPr="00032AD9" w:rsidRDefault="00F343D3" w:rsidP="00A655ED">
            <w:pPr>
              <w:jc w:val="both"/>
              <w:rPr>
                <w:rFonts w:ascii="Times New Roman" w:hAnsi="Times New Roman" w:cs="Times New Roman"/>
                <w:lang w:val="en-GB"/>
              </w:rPr>
            </w:pPr>
          </w:p>
        </w:tc>
        <w:tc>
          <w:tcPr>
            <w:tcW w:w="5615" w:type="dxa"/>
          </w:tcPr>
          <w:p w14:paraId="775EFE0C"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lang w:val="sr-Cyrl"/>
              </w:rPr>
              <w:t xml:space="preserve">Биљке које повећавају плодност земљишта и његово здравље путем разних механизама, попут везивања азота или додавања органских материја. Пример су махунарке које су познате по својој способности да обогате земљиште везивањем азота. Овај процес значајно повећава плодност земљишта и подстиче раст накнадних усева; зато су махунарке од суштинског значаја у системима одрживог ратарства. Поред тога, раж, овас, </w:t>
            </w:r>
            <w:r w:rsidRPr="00032AD9">
              <w:rPr>
                <w:rFonts w:ascii="Times New Roman" w:hAnsi="Times New Roman" w:cs="Times New Roman"/>
                <w:lang w:val="sr-Cyrl"/>
              </w:rPr>
              <w:lastRenderedPageBreak/>
              <w:t>хељда и суданска трава такође играју улогу биљака које обогаћују земљиште.</w:t>
            </w:r>
          </w:p>
        </w:tc>
        <w:tc>
          <w:tcPr>
            <w:tcW w:w="616" w:type="dxa"/>
          </w:tcPr>
          <w:p w14:paraId="1245114B" w14:textId="77777777" w:rsidR="00F343D3" w:rsidRPr="00032AD9" w:rsidRDefault="00F343D3" w:rsidP="00A655ED">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lastRenderedPageBreak/>
              <w:t>17, 18</w:t>
            </w:r>
          </w:p>
        </w:tc>
      </w:tr>
      <w:tr w:rsidR="00F343D3" w:rsidRPr="00032AD9" w14:paraId="09B5D693" w14:textId="77777777" w:rsidTr="2C6C7817">
        <w:tc>
          <w:tcPr>
            <w:tcW w:w="2062" w:type="dxa"/>
          </w:tcPr>
          <w:p w14:paraId="038D278A" w14:textId="77777777" w:rsidR="00F343D3" w:rsidRPr="00032AD9" w:rsidRDefault="00F343D3" w:rsidP="002A67F8">
            <w:pPr>
              <w:rPr>
                <w:rFonts w:ascii="Times New Roman" w:hAnsi="Times New Roman" w:cs="Times New Roman"/>
                <w:b/>
                <w:lang w:val="en-GB"/>
              </w:rPr>
            </w:pPr>
            <w:r w:rsidRPr="00032AD9">
              <w:rPr>
                <w:rFonts w:ascii="Times New Roman" w:hAnsi="Times New Roman" w:cs="Times New Roman"/>
                <w:b/>
                <w:color w:val="3A7C22" w:themeColor="accent6" w:themeShade="BF"/>
                <w:lang w:val="sr-Cyrl"/>
              </w:rPr>
              <w:t>Биодиверзитет</w:t>
            </w:r>
          </w:p>
        </w:tc>
        <w:tc>
          <w:tcPr>
            <w:tcW w:w="1469" w:type="dxa"/>
          </w:tcPr>
          <w:p w14:paraId="593298E5" w14:textId="77777777" w:rsidR="00F343D3" w:rsidRPr="00032AD9" w:rsidRDefault="00F343D3" w:rsidP="002A67F8">
            <w:pPr>
              <w:jc w:val="both"/>
              <w:rPr>
                <w:rFonts w:ascii="Times New Roman" w:hAnsi="Times New Roman" w:cs="Times New Roman"/>
                <w:lang w:val="en-GB"/>
              </w:rPr>
            </w:pPr>
          </w:p>
        </w:tc>
        <w:tc>
          <w:tcPr>
            <w:tcW w:w="5615" w:type="dxa"/>
          </w:tcPr>
          <w:p w14:paraId="05207923" w14:textId="77777777" w:rsidR="00F343D3" w:rsidRPr="00032AD9" w:rsidRDefault="00F343D3" w:rsidP="00AC40AC">
            <w:pPr>
              <w:jc w:val="both"/>
              <w:rPr>
                <w:rFonts w:ascii="Times New Roman" w:hAnsi="Times New Roman" w:cs="Times New Roman"/>
                <w:lang w:val="sr-Cyrl"/>
              </w:rPr>
            </w:pPr>
            <w:r w:rsidRPr="00032AD9">
              <w:rPr>
                <w:rFonts w:ascii="Times New Roman" w:hAnsi="Times New Roman" w:cs="Times New Roman"/>
                <w:lang w:val="sr-Cyrl"/>
              </w:rPr>
              <w:t>Представља разноликост живота на Земљи на свим нивоима, укључујући генетску разноликост у оквиру врста, разлику између самих врста и различитост екосистема. Она обухвата биљке, животиње, гљиве, микроорганизме и еколошке комплексе којима они припадају. Биодиверзитет је од суштинског значаја за стабилност и отпорност екосистема, јер је у основи процеса који одржавају живот, као што су кружење хранљивих материја, опрашивање, формирање тла и регулација климе.</w:t>
            </w:r>
          </w:p>
          <w:p w14:paraId="49D3F56D" w14:textId="77777777" w:rsidR="00F343D3" w:rsidRPr="00032AD9" w:rsidRDefault="00F343D3" w:rsidP="00AC40AC">
            <w:pPr>
              <w:jc w:val="both"/>
              <w:rPr>
                <w:rFonts w:ascii="Times New Roman" w:hAnsi="Times New Roman" w:cs="Times New Roman"/>
                <w:lang w:val="sr-Cyrl"/>
              </w:rPr>
            </w:pPr>
            <w:r w:rsidRPr="00032AD9">
              <w:rPr>
                <w:rFonts w:ascii="Times New Roman" w:hAnsi="Times New Roman" w:cs="Times New Roman"/>
                <w:lang w:val="sr-Cyrl"/>
              </w:rPr>
              <w:t>Функције биодиверзитета су кључне и за природне екосистеме и за благостање људи. Биодиверзитет пружа услуге екосистема као што су храна, чиста вода, лекови и сировине, а истовремено доприноси културним, рекреативним и естетским вредностима. Биодиверзитет повећава продуктивност и отпорност екосистема, омогућавајући им да се опораве од поремећаја и прилагоде променама, као што су оне изазване климатским променама. Губитак биодиверзитета, узрокован уништавањем станишта, загађењем, прекомерном експлоатацијом и инвазивним врстама, угрожава ове виталне функције и услуге.</w:t>
            </w:r>
          </w:p>
        </w:tc>
        <w:tc>
          <w:tcPr>
            <w:tcW w:w="616" w:type="dxa"/>
          </w:tcPr>
          <w:p w14:paraId="637B3BE6"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39</w:t>
            </w:r>
          </w:p>
        </w:tc>
      </w:tr>
      <w:tr w:rsidR="00F343D3" w:rsidRPr="00032AD9" w14:paraId="73CC9AD0" w14:textId="77777777" w:rsidTr="2C6C7817">
        <w:tc>
          <w:tcPr>
            <w:tcW w:w="2062" w:type="dxa"/>
          </w:tcPr>
          <w:p w14:paraId="1FF58E16"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Биомаса</w:t>
            </w:r>
          </w:p>
        </w:tc>
        <w:tc>
          <w:tcPr>
            <w:tcW w:w="1469" w:type="dxa"/>
          </w:tcPr>
          <w:p w14:paraId="2A589CD0" w14:textId="77777777" w:rsidR="00F343D3" w:rsidRPr="00032AD9" w:rsidRDefault="00F343D3" w:rsidP="002A67F8">
            <w:pPr>
              <w:jc w:val="both"/>
              <w:rPr>
                <w:rFonts w:ascii="Times New Roman" w:hAnsi="Times New Roman" w:cs="Times New Roman"/>
                <w:lang w:val="en-GB"/>
              </w:rPr>
            </w:pPr>
          </w:p>
        </w:tc>
        <w:tc>
          <w:tcPr>
            <w:tcW w:w="5615" w:type="dxa"/>
          </w:tcPr>
          <w:p w14:paraId="2484A198" w14:textId="77777777" w:rsidR="00F343D3" w:rsidRPr="00032AD9" w:rsidRDefault="00F343D3" w:rsidP="002A67F8">
            <w:pPr>
              <w:jc w:val="both"/>
              <w:rPr>
                <w:rFonts w:ascii="Times New Roman" w:hAnsi="Times New Roman" w:cs="Times New Roman"/>
                <w:lang w:val="sr-Cyrl"/>
              </w:rPr>
            </w:pPr>
            <w:r w:rsidRPr="00032AD9">
              <w:rPr>
                <w:rFonts w:ascii="Times New Roman" w:hAnsi="Times New Roman" w:cs="Times New Roman"/>
                <w:lang w:val="sr-Cyrl"/>
              </w:rPr>
              <w:t>Органске материје биолошког порекла (биљке и животиње). Овај појам се може користити за агро-индустријске отпадне воде и други отпад, енергетске усеве, материјале прикупљене из природе (нпр. дрво) или органски отпад. Биомаса се може користити да повећа плодност земљишта и његово здравље, да повећа капацитет складиштења угљеника или као алтернатива фосилним сировинама у биорафинеријама и индустријским процесима, као сировина за производњу биогорива.</w:t>
            </w:r>
          </w:p>
        </w:tc>
        <w:tc>
          <w:tcPr>
            <w:tcW w:w="616" w:type="dxa"/>
          </w:tcPr>
          <w:p w14:paraId="0F380962"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1</w:t>
            </w:r>
          </w:p>
        </w:tc>
      </w:tr>
      <w:tr w:rsidR="00F343D3" w:rsidRPr="00032AD9" w14:paraId="23724D49" w14:textId="77777777" w:rsidTr="2C6C7817">
        <w:tc>
          <w:tcPr>
            <w:tcW w:w="2062" w:type="dxa"/>
          </w:tcPr>
          <w:p w14:paraId="0B5C0FD5" w14:textId="77777777" w:rsidR="00F343D3" w:rsidRPr="00032AD9" w:rsidRDefault="00F343D3" w:rsidP="00A655ED">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Брига</w:t>
            </w:r>
          </w:p>
        </w:tc>
        <w:tc>
          <w:tcPr>
            <w:tcW w:w="1469" w:type="dxa"/>
          </w:tcPr>
          <w:p w14:paraId="65D81201" w14:textId="77777777" w:rsidR="00F343D3" w:rsidRPr="00032AD9" w:rsidRDefault="00F343D3" w:rsidP="00A655ED">
            <w:pPr>
              <w:jc w:val="both"/>
              <w:rPr>
                <w:rFonts w:ascii="Times New Roman" w:hAnsi="Times New Roman" w:cs="Times New Roman"/>
                <w:lang w:val="en-GB"/>
              </w:rPr>
            </w:pPr>
          </w:p>
        </w:tc>
        <w:tc>
          <w:tcPr>
            <w:tcW w:w="5615" w:type="dxa"/>
          </w:tcPr>
          <w:p w14:paraId="2D378FF9"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lang w:val="sr-Cyrl"/>
              </w:rPr>
              <w:t>Обезбеђивање онога што је неопходно за здравље, благостање, одржавање и заштиту некога или нечега. Ова дефиниција обухвата широк спектар активности и ставова који за циљ имају јачање добробити и подршке. На бригу се гледа као на активности које за циљ имају пружање подршке појединцима у погледу њихових потреба и унапређења квалитета њиховог живота.</w:t>
            </w:r>
          </w:p>
        </w:tc>
        <w:tc>
          <w:tcPr>
            <w:tcW w:w="616" w:type="dxa"/>
          </w:tcPr>
          <w:p w14:paraId="479B149B" w14:textId="77777777" w:rsidR="00F343D3" w:rsidRPr="00032AD9" w:rsidRDefault="00F343D3" w:rsidP="00A655ED">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28, 29</w:t>
            </w:r>
          </w:p>
        </w:tc>
      </w:tr>
      <w:tr w:rsidR="00F343D3" w:rsidRPr="00032AD9" w14:paraId="7E7B1D3C" w14:textId="77777777" w:rsidTr="2C6C7817">
        <w:tc>
          <w:tcPr>
            <w:tcW w:w="2062" w:type="dxa"/>
          </w:tcPr>
          <w:p w14:paraId="730BAE3A"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Вода доступна биљци</w:t>
            </w:r>
          </w:p>
        </w:tc>
        <w:tc>
          <w:tcPr>
            <w:tcW w:w="1469" w:type="dxa"/>
          </w:tcPr>
          <w:p w14:paraId="2227D691" w14:textId="77777777" w:rsidR="00F343D3" w:rsidRPr="00032AD9" w:rsidRDefault="00F343D3" w:rsidP="00525540">
            <w:pPr>
              <w:jc w:val="both"/>
              <w:rPr>
                <w:rFonts w:ascii="Times New Roman" w:hAnsi="Times New Roman" w:cs="Times New Roman"/>
                <w:lang w:val="en-GB"/>
              </w:rPr>
            </w:pPr>
          </w:p>
        </w:tc>
        <w:tc>
          <w:tcPr>
            <w:tcW w:w="5615" w:type="dxa"/>
          </w:tcPr>
          <w:p w14:paraId="6D5F36F0" w14:textId="77777777" w:rsidR="00F343D3" w:rsidRPr="00F343D3" w:rsidRDefault="00F343D3" w:rsidP="00525540">
            <w:pPr>
              <w:jc w:val="both"/>
              <w:rPr>
                <w:rFonts w:ascii="Times New Roman" w:hAnsi="Times New Roman" w:cs="Times New Roman"/>
                <w:lang w:val="sr-Cyrl"/>
              </w:rPr>
            </w:pPr>
            <w:r w:rsidRPr="00032AD9">
              <w:rPr>
                <w:rFonts w:ascii="Times New Roman" w:hAnsi="Times New Roman" w:cs="Times New Roman"/>
                <w:lang w:val="sr-Cyrl"/>
              </w:rPr>
              <w:t xml:space="preserve">Укупна количина воде у зони корена која је доступна за евапотранспирацију. То је вода која је задржана у земљишту између стања капацитета поља и тачке трајног увенућа. Обично се изражава у mm. Што има више воде доступне биљци, већа је продуктивност и биолошка активност земљишта. </w:t>
            </w:r>
          </w:p>
          <w:p w14:paraId="78CB9337" w14:textId="77777777" w:rsidR="00F343D3" w:rsidRPr="00F343D3" w:rsidRDefault="00F343D3" w:rsidP="00525540">
            <w:pPr>
              <w:jc w:val="both"/>
              <w:rPr>
                <w:rFonts w:ascii="Times New Roman" w:hAnsi="Times New Roman" w:cs="Times New Roman"/>
                <w:lang w:val="sr-Cyrl"/>
              </w:rPr>
            </w:pPr>
            <w:r w:rsidRPr="00032AD9">
              <w:rPr>
                <w:rFonts w:ascii="Times New Roman" w:hAnsi="Times New Roman" w:cs="Times New Roman"/>
                <w:lang w:val="sr-Cyrl"/>
              </w:rPr>
              <w:t>Графички приказ ефекта величине зрна у земљишту на капацитет воде доступне биљци по Хентлију (Hantley) (2023; 5)</w:t>
            </w:r>
          </w:p>
          <w:p w14:paraId="34DB92E7" w14:textId="77777777" w:rsidR="00F343D3" w:rsidRPr="00F343D3" w:rsidRDefault="00F343D3" w:rsidP="00525540">
            <w:pPr>
              <w:jc w:val="both"/>
              <w:rPr>
                <w:rFonts w:ascii="Times New Roman" w:hAnsi="Times New Roman" w:cs="Times New Roman"/>
                <w:lang w:val="sr-Cyrl"/>
              </w:rPr>
            </w:pPr>
          </w:p>
          <w:p w14:paraId="669F6D60"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noProof/>
                <w:lang w:val="sr-Cyrl"/>
              </w:rPr>
              <w:lastRenderedPageBreak/>
              <w:drawing>
                <wp:inline distT="0" distB="0" distL="0" distR="0" wp14:anchorId="1D74EACF" wp14:editId="2960BC66">
                  <wp:extent cx="3428736" cy="287918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48819" cy="2896051"/>
                          </a:xfrm>
                          <a:prstGeom prst="rect">
                            <a:avLst/>
                          </a:prstGeom>
                        </pic:spPr>
                      </pic:pic>
                    </a:graphicData>
                  </a:graphic>
                </wp:inline>
              </w:drawing>
            </w:r>
          </w:p>
          <w:p w14:paraId="0D33E454"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color w:val="000000" w:themeColor="text1"/>
                <w:shd w:val="clear" w:color="auto" w:fill="FFFFFF"/>
                <w:lang w:val="sr-Cyrl"/>
              </w:rPr>
              <w:t xml:space="preserve">Извор: Huntley (2023). Springer, Cham. </w:t>
            </w:r>
            <w:r>
              <w:fldChar w:fldCharType="begin"/>
            </w:r>
            <w:r>
              <w:instrText>HYPERLINK "https://doi.org/10.1007/978-3-031-18923-4_6"</w:instrText>
            </w:r>
            <w:r>
              <w:fldChar w:fldCharType="separate"/>
            </w:r>
            <w:r w:rsidRPr="00032AD9">
              <w:rPr>
                <w:rStyle w:val="Hyperlink"/>
                <w:rFonts w:ascii="Times New Roman" w:hAnsi="Times New Roman" w:cs="Times New Roman"/>
                <w:color w:val="000000" w:themeColor="text1"/>
                <w:shd w:val="clear" w:color="auto" w:fill="FFFFFF"/>
                <w:lang w:val="sr-Cyrl"/>
              </w:rPr>
              <w:t>https://doi.org/10.1007/978-3-031-18923-4_6</w:t>
            </w:r>
            <w:r>
              <w:fldChar w:fldCharType="end"/>
            </w:r>
            <w:r w:rsidRPr="00032AD9">
              <w:rPr>
                <w:rStyle w:val="Hyperlink"/>
                <w:rFonts w:ascii="Times New Roman" w:hAnsi="Times New Roman" w:cs="Times New Roman"/>
                <w:color w:val="000000" w:themeColor="text1"/>
                <w:shd w:val="clear" w:color="auto" w:fill="FFFFFF"/>
                <w:lang w:val="sr-Cyrl"/>
              </w:rPr>
              <w:t>,</w:t>
            </w:r>
            <w:r w:rsidRPr="00032AD9">
              <w:rPr>
                <w:rStyle w:val="Hyperlink"/>
                <w:color w:val="000000" w:themeColor="text1"/>
                <w:shd w:val="clear" w:color="auto" w:fill="FFFFFF"/>
                <w:lang w:val="sr-Cyrl"/>
              </w:rPr>
              <w:t xml:space="preserve"> </w:t>
            </w:r>
            <w:hyperlink r:id="rId12" w:history="1">
              <w:r w:rsidRPr="00032AD9">
                <w:rPr>
                  <w:rStyle w:val="Hyperlink"/>
                  <w:rFonts w:ascii="Times New Roman" w:hAnsi="Times New Roman" w:cs="Times New Roman"/>
                  <w:lang w:val="sr-Cyrl"/>
                </w:rPr>
                <w:t>https://link.springer.com/chapter/10.1007/978-3-031-18923-4_6/figures/4</w:t>
              </w:r>
            </w:hyperlink>
          </w:p>
        </w:tc>
        <w:tc>
          <w:tcPr>
            <w:tcW w:w="616" w:type="dxa"/>
          </w:tcPr>
          <w:p w14:paraId="1ACB25F0"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lastRenderedPageBreak/>
              <w:t>3, 4, 5</w:t>
            </w:r>
          </w:p>
        </w:tc>
      </w:tr>
      <w:tr w:rsidR="00F343D3" w:rsidRPr="00032AD9" w14:paraId="0E8D5099" w14:textId="77777777" w:rsidTr="2C6C7817">
        <w:tc>
          <w:tcPr>
            <w:tcW w:w="2062" w:type="dxa"/>
          </w:tcPr>
          <w:p w14:paraId="541D77B7" w14:textId="77777777" w:rsidR="00F343D3" w:rsidRPr="00032AD9" w:rsidRDefault="00F343D3" w:rsidP="00A655ED">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Вредност</w:t>
            </w:r>
          </w:p>
        </w:tc>
        <w:tc>
          <w:tcPr>
            <w:tcW w:w="1469" w:type="dxa"/>
          </w:tcPr>
          <w:p w14:paraId="09867722" w14:textId="77777777" w:rsidR="00F343D3" w:rsidRPr="00032AD9" w:rsidRDefault="00F343D3" w:rsidP="00A655ED">
            <w:pPr>
              <w:jc w:val="both"/>
              <w:rPr>
                <w:rFonts w:ascii="Times New Roman" w:hAnsi="Times New Roman" w:cs="Times New Roman"/>
                <w:lang w:val="en-GB"/>
              </w:rPr>
            </w:pPr>
          </w:p>
        </w:tc>
        <w:tc>
          <w:tcPr>
            <w:tcW w:w="5615" w:type="dxa"/>
          </w:tcPr>
          <w:p w14:paraId="06950A0E"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lang w:val="sr-Cyrl"/>
              </w:rPr>
              <w:t>У контексту науке о животној средини, вредност се односи на важност или значај који се приписује природним ресурсима, екосистемима и биодиверзитету. То може обухватити различите димензије, укључујући еколошке, економске, социјалне и природне вредности.</w:t>
            </w:r>
          </w:p>
          <w:p w14:paraId="1EAF5F21"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b/>
                <w:lang w:val="sr-Cyrl"/>
              </w:rPr>
              <w:t>Еколошка вредност</w:t>
            </w:r>
            <w:r w:rsidRPr="00032AD9">
              <w:rPr>
                <w:rFonts w:ascii="Times New Roman" w:hAnsi="Times New Roman" w:cs="Times New Roman"/>
                <w:lang w:val="sr-Cyrl"/>
              </w:rPr>
              <w:t>: Она се односи на улогу коју екосистеми играју у одржавању биодиверзитета и подржавању животних процеса. На пример, воде у унутрашњости Антарктика су препознате по свом јединственом биодиверзитету и биолошкој продукцији, које су кључне за одржавање врста које могу бити ендемске у поларним регијама.</w:t>
            </w:r>
          </w:p>
          <w:p w14:paraId="48E136A0"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b/>
                <w:lang w:val="sr-Cyrl"/>
              </w:rPr>
              <w:t>Економска вредност</w:t>
            </w:r>
            <w:r w:rsidRPr="00032AD9">
              <w:rPr>
                <w:rFonts w:ascii="Times New Roman" w:hAnsi="Times New Roman" w:cs="Times New Roman"/>
                <w:lang w:val="sr-Cyrl"/>
              </w:rPr>
              <w:t>: То обухвата опипљиве предности које се добијају из природних ресурса, као што су грађа, минерали и услуге екосистема попут чисте воде и ваздуха. Економска вредност се често оцењује путем тржишних приступа или анализе трошкова и добити који квантификују финансијске предности очувања природних станишта.</w:t>
            </w:r>
          </w:p>
          <w:p w14:paraId="02F97677"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b/>
                <w:lang w:val="sr-Cyrl"/>
              </w:rPr>
              <w:t>Социјална вредност</w:t>
            </w:r>
            <w:r w:rsidRPr="00032AD9">
              <w:rPr>
                <w:rFonts w:ascii="Times New Roman" w:hAnsi="Times New Roman" w:cs="Times New Roman"/>
                <w:lang w:val="sr-Cyrl"/>
              </w:rPr>
              <w:t>: Одражава културни и рекреативни значај природних делова за заједнице. Обухвата аспекте попут уживања у естетици, духовног повезивања с природом и рекреативних прилика које екосистеми пружају.</w:t>
            </w:r>
          </w:p>
          <w:p w14:paraId="37425AA5" w14:textId="77777777" w:rsidR="00F343D3" w:rsidRPr="00032AD9" w:rsidRDefault="00F343D3" w:rsidP="00A655ED">
            <w:pPr>
              <w:jc w:val="both"/>
              <w:rPr>
                <w:rFonts w:ascii="Times New Roman" w:hAnsi="Times New Roman" w:cs="Times New Roman"/>
                <w:lang w:val="en-GB"/>
              </w:rPr>
            </w:pPr>
            <w:r w:rsidRPr="00032AD9">
              <w:rPr>
                <w:rFonts w:ascii="Times New Roman" w:hAnsi="Times New Roman" w:cs="Times New Roman"/>
                <w:b/>
                <w:lang w:val="sr-Cyrl"/>
              </w:rPr>
              <w:t>Природна вредност</w:t>
            </w:r>
            <w:r w:rsidRPr="00032AD9">
              <w:rPr>
                <w:rFonts w:ascii="Times New Roman" w:hAnsi="Times New Roman" w:cs="Times New Roman"/>
                <w:lang w:val="sr-Cyrl"/>
              </w:rPr>
              <w:t>: Овај концепт сматра да природа има вредност сама по себи, независно од њене користи људима. Заговара заштиту екосистема на основу њихове инхерентне вредности.</w:t>
            </w:r>
          </w:p>
        </w:tc>
        <w:tc>
          <w:tcPr>
            <w:tcW w:w="616" w:type="dxa"/>
          </w:tcPr>
          <w:p w14:paraId="079C3441" w14:textId="77777777" w:rsidR="00F343D3" w:rsidRPr="00032AD9" w:rsidRDefault="00F343D3" w:rsidP="00A655ED">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21,22</w:t>
            </w:r>
          </w:p>
        </w:tc>
      </w:tr>
      <w:tr w:rsidR="00F343D3" w:rsidRPr="00032AD9" w14:paraId="555AF0FC" w14:textId="77777777" w:rsidTr="2C6C7817">
        <w:tc>
          <w:tcPr>
            <w:tcW w:w="2062" w:type="dxa"/>
          </w:tcPr>
          <w:p w14:paraId="5E59ACC9" w14:textId="77777777" w:rsidR="00F343D3" w:rsidRPr="00032AD9" w:rsidRDefault="00F343D3" w:rsidP="00A655ED">
            <w:pPr>
              <w:rPr>
                <w:rFonts w:ascii="Times New Roman" w:hAnsi="Times New Roman" w:cs="Times New Roman"/>
                <w:b/>
                <w:color w:val="BF4E14" w:themeColor="accent2" w:themeShade="BF"/>
                <w:lang w:val="en-GB"/>
              </w:rPr>
            </w:pPr>
            <w:r w:rsidRPr="00032AD9">
              <w:rPr>
                <w:rFonts w:ascii="Times New Roman" w:hAnsi="Times New Roman" w:cs="Times New Roman"/>
                <w:b/>
                <w:color w:val="3A7C22" w:themeColor="accent6" w:themeShade="BF"/>
                <w:lang w:val="sr-Cyrl"/>
              </w:rPr>
              <w:t>Генеза земљишта</w:t>
            </w:r>
          </w:p>
        </w:tc>
        <w:tc>
          <w:tcPr>
            <w:tcW w:w="1469" w:type="dxa"/>
          </w:tcPr>
          <w:p w14:paraId="3146857E" w14:textId="77777777" w:rsidR="00F343D3" w:rsidRPr="00032AD9" w:rsidRDefault="00F343D3" w:rsidP="00A655ED">
            <w:pPr>
              <w:jc w:val="both"/>
              <w:rPr>
                <w:rFonts w:ascii="Times New Roman" w:hAnsi="Times New Roman" w:cs="Times New Roman"/>
                <w:lang w:val="en-GB"/>
              </w:rPr>
            </w:pPr>
          </w:p>
        </w:tc>
        <w:tc>
          <w:tcPr>
            <w:tcW w:w="5615" w:type="dxa"/>
          </w:tcPr>
          <w:p w14:paraId="797C10E1"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lang w:val="sr-Cyrl"/>
              </w:rPr>
              <w:t xml:space="preserve">Процес трансформације од каменог материјала до профила земљишта. Земљишта се формирају под утицајем главних елемената природне средине, тј. матичних материјала, рељефа, климе, живих организама и времена (Докухаев, 1883) под утицајем људске </w:t>
            </w:r>
            <w:r w:rsidRPr="00032AD9">
              <w:rPr>
                <w:rFonts w:ascii="Times New Roman" w:hAnsi="Times New Roman" w:cs="Times New Roman"/>
                <w:lang w:val="sr-Cyrl"/>
              </w:rPr>
              <w:lastRenderedPageBreak/>
              <w:t>активности. Ови фактори који формирају земљиште наступају заједно, а морфологија и својства одређеног земљишта зависе од односа између ових фактора на локалном нивоу.</w:t>
            </w:r>
          </w:p>
        </w:tc>
        <w:tc>
          <w:tcPr>
            <w:tcW w:w="616" w:type="dxa"/>
          </w:tcPr>
          <w:p w14:paraId="27A08D56" w14:textId="77777777" w:rsidR="00F343D3" w:rsidRPr="00032AD9" w:rsidRDefault="00F343D3" w:rsidP="00A655ED">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lastRenderedPageBreak/>
              <w:t>15</w:t>
            </w:r>
          </w:p>
        </w:tc>
      </w:tr>
      <w:tr w:rsidR="00F343D3" w:rsidRPr="00032AD9" w14:paraId="0B656CD0" w14:textId="77777777" w:rsidTr="2C6C7817">
        <w:tc>
          <w:tcPr>
            <w:tcW w:w="2062" w:type="dxa"/>
          </w:tcPr>
          <w:p w14:paraId="1CDBDE19" w14:textId="77777777" w:rsidR="00F343D3" w:rsidRPr="00032AD9" w:rsidRDefault="00F343D3" w:rsidP="00A655ED">
            <w:pPr>
              <w:rPr>
                <w:rFonts w:ascii="Times New Roman" w:hAnsi="Times New Roman" w:cs="Times New Roman"/>
                <w:b/>
                <w:color w:val="BF4E14" w:themeColor="accent2" w:themeShade="BF"/>
                <w:lang w:val="en-GB"/>
              </w:rPr>
            </w:pPr>
            <w:r w:rsidRPr="00032AD9">
              <w:rPr>
                <w:rFonts w:ascii="Times New Roman" w:hAnsi="Times New Roman" w:cs="Times New Roman"/>
                <w:b/>
                <w:color w:val="3A7C22" w:themeColor="accent6" w:themeShade="BF"/>
                <w:lang w:val="sr-Cyrl"/>
              </w:rPr>
              <w:t>Грабљење земље</w:t>
            </w:r>
          </w:p>
        </w:tc>
        <w:tc>
          <w:tcPr>
            <w:tcW w:w="1469" w:type="dxa"/>
          </w:tcPr>
          <w:p w14:paraId="39E423CC" w14:textId="77777777" w:rsidR="00F343D3" w:rsidRPr="00032AD9" w:rsidRDefault="00F343D3" w:rsidP="00A655ED">
            <w:pPr>
              <w:jc w:val="both"/>
              <w:rPr>
                <w:rFonts w:ascii="Times New Roman" w:hAnsi="Times New Roman" w:cs="Times New Roman"/>
                <w:lang w:val="en-GB"/>
              </w:rPr>
            </w:pPr>
          </w:p>
        </w:tc>
        <w:tc>
          <w:tcPr>
            <w:tcW w:w="5615" w:type="dxa"/>
          </w:tcPr>
          <w:p w14:paraId="003E243A" w14:textId="77777777" w:rsidR="00F343D3" w:rsidRPr="00032AD9" w:rsidRDefault="00F343D3" w:rsidP="00A655ED">
            <w:pPr>
              <w:jc w:val="both"/>
              <w:rPr>
                <w:rFonts w:ascii="Times New Roman" w:hAnsi="Times New Roman" w:cs="Times New Roman"/>
                <w:lang w:val="en-GB"/>
              </w:rPr>
            </w:pPr>
            <w:r w:rsidRPr="00032AD9">
              <w:rPr>
                <w:rFonts w:ascii="Times New Roman" w:hAnsi="Times New Roman" w:cs="Times New Roman"/>
                <w:lang w:val="sr-Cyrl"/>
              </w:rPr>
              <w:t>Грабљење земље је контрола - било путем власништва, ренте, концесије, уговора, квота или општег овлашћења - већих површина земље него што је типично на локалу а од стране било ког лица или институције - јавне или приватне, стране или домаће - путем било ког средства - „легалним“ или „нелегалним“ путем – у сврху спекулисања, екстракције, контроле ресурса или комодификације науштрб локалних пољопривредника, агроекологије, заштитника земљишта, прехрамбене независности и људских права.</w:t>
            </w:r>
          </w:p>
        </w:tc>
        <w:tc>
          <w:tcPr>
            <w:tcW w:w="616" w:type="dxa"/>
          </w:tcPr>
          <w:p w14:paraId="6B0073C0" w14:textId="77777777" w:rsidR="00F343D3" w:rsidRPr="00032AD9" w:rsidRDefault="00F343D3" w:rsidP="00A655ED">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11</w:t>
            </w:r>
          </w:p>
        </w:tc>
      </w:tr>
      <w:tr w:rsidR="00F343D3" w:rsidRPr="00032AD9" w14:paraId="64FE0AE1" w14:textId="77777777" w:rsidTr="2C6C7817">
        <w:tc>
          <w:tcPr>
            <w:tcW w:w="2062" w:type="dxa"/>
          </w:tcPr>
          <w:p w14:paraId="4D0C242E"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Деградација земљишта</w:t>
            </w:r>
          </w:p>
        </w:tc>
        <w:tc>
          <w:tcPr>
            <w:tcW w:w="1469" w:type="dxa"/>
          </w:tcPr>
          <w:p w14:paraId="65D4D086" w14:textId="77777777" w:rsidR="00F343D3" w:rsidRPr="00032AD9" w:rsidRDefault="00F343D3" w:rsidP="00525540">
            <w:pPr>
              <w:jc w:val="both"/>
              <w:rPr>
                <w:rFonts w:ascii="Times New Roman" w:hAnsi="Times New Roman" w:cs="Times New Roman"/>
                <w:lang w:val="en-GB"/>
              </w:rPr>
            </w:pPr>
          </w:p>
        </w:tc>
        <w:tc>
          <w:tcPr>
            <w:tcW w:w="5615" w:type="dxa"/>
          </w:tcPr>
          <w:p w14:paraId="3050A063"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Негативан процес који људске активности често убрзавају (неодговарајуће коришћење земљишта и пракса гајења, заптивање земљишта) што доводи до погоршања својстава земљишта и функција или до уништења земљишта као целине, нпр. сабијањем, ерозијом, салинизацијом.</w:t>
            </w:r>
          </w:p>
        </w:tc>
        <w:tc>
          <w:tcPr>
            <w:tcW w:w="616" w:type="dxa"/>
          </w:tcPr>
          <w:p w14:paraId="2025CB89"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2,3</w:t>
            </w:r>
          </w:p>
        </w:tc>
      </w:tr>
      <w:tr w:rsidR="00F343D3" w:rsidRPr="00032AD9" w14:paraId="407C26BF" w14:textId="77777777" w:rsidTr="2C6C7817">
        <w:tc>
          <w:tcPr>
            <w:tcW w:w="2062" w:type="dxa"/>
          </w:tcPr>
          <w:p w14:paraId="00F437DA"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Дезертификација</w:t>
            </w:r>
          </w:p>
        </w:tc>
        <w:tc>
          <w:tcPr>
            <w:tcW w:w="1469" w:type="dxa"/>
          </w:tcPr>
          <w:p w14:paraId="340F5F11" w14:textId="77777777" w:rsidR="00F343D3" w:rsidRPr="00032AD9" w:rsidRDefault="00F343D3" w:rsidP="002A67F8">
            <w:pPr>
              <w:jc w:val="both"/>
              <w:rPr>
                <w:rFonts w:ascii="Times New Roman" w:hAnsi="Times New Roman" w:cs="Times New Roman"/>
                <w:lang w:val="en-GB"/>
              </w:rPr>
            </w:pPr>
          </w:p>
        </w:tc>
        <w:tc>
          <w:tcPr>
            <w:tcW w:w="5615" w:type="dxa"/>
          </w:tcPr>
          <w:p w14:paraId="4CBEE3D8" w14:textId="77777777" w:rsidR="00F343D3" w:rsidRPr="00032AD9" w:rsidRDefault="00F343D3" w:rsidP="002A67F8">
            <w:pPr>
              <w:jc w:val="both"/>
              <w:rPr>
                <w:rFonts w:ascii="Times New Roman" w:hAnsi="Times New Roman" w:cs="Times New Roman"/>
                <w:lang w:val="en-GB"/>
              </w:rPr>
            </w:pPr>
            <w:r w:rsidRPr="00032AD9">
              <w:rPr>
                <w:rFonts w:ascii="Times New Roman" w:hAnsi="Times New Roman" w:cs="Times New Roman"/>
                <w:lang w:val="sr-Cyrl"/>
              </w:rPr>
              <w:t>Процес током ког се релативно сува земља претвара све више у неплодну земљу, типично губећи воду, као и вегетацију и животињски свет било директно због климатских промена или индиректно због деградације земљишта које је резултат лоше управе.</w:t>
            </w:r>
          </w:p>
        </w:tc>
        <w:tc>
          <w:tcPr>
            <w:tcW w:w="616" w:type="dxa"/>
          </w:tcPr>
          <w:p w14:paraId="5237C48D"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w:t>
            </w:r>
          </w:p>
        </w:tc>
      </w:tr>
      <w:tr w:rsidR="00F343D3" w:rsidRPr="00032AD9" w14:paraId="47F917FC" w14:textId="77777777" w:rsidTr="2C6C7817">
        <w:tc>
          <w:tcPr>
            <w:tcW w:w="2062" w:type="dxa"/>
          </w:tcPr>
          <w:p w14:paraId="75E738D6"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Денитрификација</w:t>
            </w:r>
          </w:p>
        </w:tc>
        <w:tc>
          <w:tcPr>
            <w:tcW w:w="1469" w:type="dxa"/>
          </w:tcPr>
          <w:p w14:paraId="427C6693" w14:textId="77777777" w:rsidR="00F343D3" w:rsidRPr="00032AD9" w:rsidRDefault="00F343D3" w:rsidP="002A67F8">
            <w:pPr>
              <w:jc w:val="both"/>
              <w:rPr>
                <w:rFonts w:ascii="Times New Roman" w:hAnsi="Times New Roman" w:cs="Times New Roman"/>
                <w:lang w:val="en-GB"/>
              </w:rPr>
            </w:pPr>
          </w:p>
        </w:tc>
        <w:tc>
          <w:tcPr>
            <w:tcW w:w="5615" w:type="dxa"/>
          </w:tcPr>
          <w:p w14:paraId="3977E08E" w14:textId="77777777" w:rsidR="00F343D3" w:rsidRPr="00032AD9" w:rsidRDefault="00F343D3" w:rsidP="002A67F8">
            <w:pPr>
              <w:jc w:val="both"/>
              <w:rPr>
                <w:rFonts w:ascii="Times New Roman" w:hAnsi="Times New Roman" w:cs="Times New Roman"/>
                <w:lang w:val="sr-Cyrl"/>
              </w:rPr>
            </w:pPr>
            <w:r w:rsidRPr="00032AD9">
              <w:rPr>
                <w:rFonts w:ascii="Times New Roman" w:hAnsi="Times New Roman" w:cs="Times New Roman"/>
                <w:lang w:val="sr-Cyrl"/>
              </w:rPr>
              <w:t>Процес који обавља неколико врста анаеробних бактерија земљишта у којима се нитрит или нитрат претварају у гасни азот (N</w:t>
            </w:r>
            <w:r w:rsidRPr="00032AD9">
              <w:rPr>
                <w:rFonts w:ascii="Times New Roman" w:hAnsi="Times New Roman" w:cs="Times New Roman"/>
                <w:vertAlign w:val="subscript"/>
                <w:lang w:val="sr-Cyrl"/>
              </w:rPr>
              <w:t>2</w:t>
            </w:r>
            <w:r w:rsidRPr="00032AD9">
              <w:rPr>
                <w:rFonts w:ascii="Times New Roman" w:hAnsi="Times New Roman" w:cs="Times New Roman"/>
                <w:lang w:val="sr-Cyrl"/>
              </w:rPr>
              <w:t>) или азотни оксид (N</w:t>
            </w:r>
            <w:r w:rsidRPr="00032AD9">
              <w:rPr>
                <w:rFonts w:ascii="Times New Roman" w:hAnsi="Times New Roman" w:cs="Times New Roman"/>
                <w:vertAlign w:val="subscript"/>
                <w:lang w:val="sr-Cyrl"/>
              </w:rPr>
              <w:t>2</w:t>
            </w:r>
            <w:r w:rsidRPr="00032AD9">
              <w:rPr>
                <w:rFonts w:ascii="Times New Roman" w:hAnsi="Times New Roman" w:cs="Times New Roman"/>
                <w:lang w:val="sr-Cyrl"/>
              </w:rPr>
              <w:t>O). И N</w:t>
            </w:r>
            <w:r w:rsidRPr="00032AD9">
              <w:rPr>
                <w:rFonts w:ascii="Times New Roman" w:hAnsi="Times New Roman" w:cs="Times New Roman"/>
                <w:vertAlign w:val="subscript"/>
                <w:lang w:val="sr-Cyrl"/>
              </w:rPr>
              <w:t>2</w:t>
            </w:r>
            <w:r w:rsidRPr="00032AD9">
              <w:rPr>
                <w:rFonts w:ascii="Times New Roman" w:hAnsi="Times New Roman" w:cs="Times New Roman"/>
                <w:lang w:val="sr-Cyrl"/>
              </w:rPr>
              <w:t xml:space="preserve"> и N</w:t>
            </w:r>
            <w:r w:rsidRPr="00032AD9">
              <w:rPr>
                <w:rFonts w:ascii="Times New Roman" w:hAnsi="Times New Roman" w:cs="Times New Roman"/>
                <w:vertAlign w:val="subscript"/>
                <w:lang w:val="sr-Cyrl"/>
              </w:rPr>
              <w:t>2</w:t>
            </w:r>
            <w:r w:rsidRPr="00032AD9">
              <w:rPr>
                <w:rFonts w:ascii="Times New Roman" w:hAnsi="Times New Roman" w:cs="Times New Roman"/>
                <w:lang w:val="sr-Cyrl"/>
              </w:rPr>
              <w:t>O су волатилни и губе се у атмосфери.</w:t>
            </w:r>
          </w:p>
        </w:tc>
        <w:tc>
          <w:tcPr>
            <w:tcW w:w="616" w:type="dxa"/>
          </w:tcPr>
          <w:p w14:paraId="46EE888B"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3</w:t>
            </w:r>
          </w:p>
        </w:tc>
      </w:tr>
      <w:tr w:rsidR="00F343D3" w:rsidRPr="00032AD9" w14:paraId="289A8A91" w14:textId="77777777" w:rsidTr="2C6C7817">
        <w:tc>
          <w:tcPr>
            <w:tcW w:w="2062" w:type="dxa"/>
          </w:tcPr>
          <w:p w14:paraId="3A19F012"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Ђубрење</w:t>
            </w:r>
          </w:p>
        </w:tc>
        <w:tc>
          <w:tcPr>
            <w:tcW w:w="1469" w:type="dxa"/>
          </w:tcPr>
          <w:p w14:paraId="101BADFF" w14:textId="77777777" w:rsidR="00F343D3" w:rsidRPr="00032AD9" w:rsidRDefault="00F343D3" w:rsidP="00525540">
            <w:pPr>
              <w:jc w:val="both"/>
              <w:rPr>
                <w:rFonts w:ascii="Times New Roman" w:hAnsi="Times New Roman" w:cs="Times New Roman"/>
                <w:lang w:val="en-GB"/>
              </w:rPr>
            </w:pPr>
          </w:p>
        </w:tc>
        <w:tc>
          <w:tcPr>
            <w:tcW w:w="5615" w:type="dxa"/>
          </w:tcPr>
          <w:p w14:paraId="10EEBFBE" w14:textId="77777777" w:rsidR="00F343D3" w:rsidRPr="00032AD9" w:rsidRDefault="00F343D3" w:rsidP="00525540">
            <w:pPr>
              <w:jc w:val="both"/>
              <w:rPr>
                <w:rFonts w:ascii="Times New Roman" w:hAnsi="Times New Roman" w:cs="Times New Roman"/>
                <w:lang w:val="sr-Cyrl"/>
              </w:rPr>
            </w:pPr>
            <w:r w:rsidRPr="00032AD9">
              <w:rPr>
                <w:rFonts w:ascii="Times New Roman" w:hAnsi="Times New Roman" w:cs="Times New Roman"/>
                <w:lang w:val="sr-Cyrl"/>
              </w:rPr>
              <w:t>Примена минералних или органских једињења како би се одржала или повећала плодност земљишта. У неким случајевима (нпр. додавање креча), сврха ђубрења је и у унапређивању одређених својстава земљишта (pH, стабилност структуре земљишта).</w:t>
            </w:r>
          </w:p>
        </w:tc>
        <w:tc>
          <w:tcPr>
            <w:tcW w:w="616" w:type="dxa"/>
          </w:tcPr>
          <w:p w14:paraId="323EA707"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1</w:t>
            </w:r>
          </w:p>
        </w:tc>
      </w:tr>
      <w:tr w:rsidR="00F343D3" w:rsidRPr="00032AD9" w14:paraId="6D7ABC3E" w14:textId="77777777" w:rsidTr="2C6C7817">
        <w:tc>
          <w:tcPr>
            <w:tcW w:w="2062" w:type="dxa"/>
          </w:tcPr>
          <w:p w14:paraId="4BC29A0B"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Евапотранспирација</w:t>
            </w:r>
          </w:p>
        </w:tc>
        <w:tc>
          <w:tcPr>
            <w:tcW w:w="1469" w:type="dxa"/>
          </w:tcPr>
          <w:p w14:paraId="039C68C6" w14:textId="77777777" w:rsidR="00F343D3" w:rsidRPr="00032AD9" w:rsidRDefault="00F343D3" w:rsidP="002A67F8">
            <w:pPr>
              <w:jc w:val="both"/>
              <w:rPr>
                <w:rFonts w:ascii="Times New Roman" w:hAnsi="Times New Roman" w:cs="Times New Roman"/>
                <w:color w:val="3A7C22" w:themeColor="accent6" w:themeShade="BF"/>
                <w:lang w:val="en-GB"/>
              </w:rPr>
            </w:pPr>
          </w:p>
        </w:tc>
        <w:tc>
          <w:tcPr>
            <w:tcW w:w="5615" w:type="dxa"/>
          </w:tcPr>
          <w:p w14:paraId="226C2011" w14:textId="77777777" w:rsidR="00F343D3" w:rsidRPr="00032AD9" w:rsidRDefault="00F343D3" w:rsidP="002A67F8">
            <w:pPr>
              <w:jc w:val="both"/>
              <w:rPr>
                <w:rFonts w:ascii="Times New Roman" w:hAnsi="Times New Roman" w:cs="Times New Roman"/>
                <w:lang w:val="sr-Cyrl"/>
              </w:rPr>
            </w:pPr>
            <w:r w:rsidRPr="00032AD9">
              <w:rPr>
                <w:rFonts w:ascii="Times New Roman" w:hAnsi="Times New Roman" w:cs="Times New Roman"/>
                <w:lang w:val="sr-Cyrl"/>
              </w:rPr>
              <w:t>Процес којим вода пролази из течног у гасовито стање путем транспирације биљака и испарења из земљишта и са површине биљака. Стопа евапотранспирације се обично изражава у mm дан-¹; може се разликовати потенцијална евапотранспирација у условима ограничене доступности воде и стварна евапотранспирација у условима ограничене доступности.</w:t>
            </w:r>
          </w:p>
        </w:tc>
        <w:tc>
          <w:tcPr>
            <w:tcW w:w="616" w:type="dxa"/>
          </w:tcPr>
          <w:p w14:paraId="2916DF21"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w:t>
            </w:r>
          </w:p>
        </w:tc>
      </w:tr>
      <w:tr w:rsidR="00F343D3" w:rsidRPr="00032AD9" w14:paraId="3390EEE1" w14:textId="77777777" w:rsidTr="2C6C7817">
        <w:tc>
          <w:tcPr>
            <w:tcW w:w="2062" w:type="dxa"/>
          </w:tcPr>
          <w:p w14:paraId="18948CC3"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Едафон</w:t>
            </w:r>
          </w:p>
        </w:tc>
        <w:tc>
          <w:tcPr>
            <w:tcW w:w="1469" w:type="dxa"/>
          </w:tcPr>
          <w:p w14:paraId="15E8E098" w14:textId="77777777" w:rsidR="00F343D3" w:rsidRPr="00032AD9" w:rsidRDefault="00F343D3" w:rsidP="002A67F8">
            <w:pPr>
              <w:jc w:val="both"/>
              <w:rPr>
                <w:rFonts w:ascii="Times New Roman" w:hAnsi="Times New Roman" w:cs="Times New Roman"/>
                <w:lang w:val="en-GB"/>
              </w:rPr>
            </w:pPr>
          </w:p>
        </w:tc>
        <w:tc>
          <w:tcPr>
            <w:tcW w:w="5615" w:type="dxa"/>
          </w:tcPr>
          <w:p w14:paraId="21FCF333" w14:textId="77777777" w:rsidR="00F343D3" w:rsidRPr="00032AD9" w:rsidRDefault="00F343D3" w:rsidP="002A67F8">
            <w:pPr>
              <w:jc w:val="both"/>
              <w:rPr>
                <w:rFonts w:ascii="Times New Roman" w:hAnsi="Times New Roman" w:cs="Times New Roman"/>
                <w:lang w:val="en-GB"/>
              </w:rPr>
            </w:pPr>
            <w:r w:rsidRPr="00032AD9">
              <w:rPr>
                <w:rFonts w:ascii="Times New Roman" w:hAnsi="Times New Roman" w:cs="Times New Roman"/>
                <w:lang w:val="sr-Cyrl"/>
              </w:rPr>
              <w:t>Заједница организама у земљишту (нпр. бактерије, гљиве, нематоде, глисте, инсекти, протозоа).</w:t>
            </w:r>
          </w:p>
        </w:tc>
        <w:tc>
          <w:tcPr>
            <w:tcW w:w="616" w:type="dxa"/>
          </w:tcPr>
          <w:p w14:paraId="000AA60D"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3</w:t>
            </w:r>
          </w:p>
        </w:tc>
      </w:tr>
      <w:tr w:rsidR="00F343D3" w:rsidRPr="00032AD9" w14:paraId="7FC18D4E" w14:textId="77777777" w:rsidTr="2C6C7817">
        <w:tc>
          <w:tcPr>
            <w:tcW w:w="2062" w:type="dxa"/>
          </w:tcPr>
          <w:p w14:paraId="5A290362" w14:textId="77777777" w:rsidR="00F343D3" w:rsidRPr="00032AD9" w:rsidRDefault="00F343D3" w:rsidP="00A655ED">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Еколошки трагачи</w:t>
            </w:r>
          </w:p>
        </w:tc>
        <w:tc>
          <w:tcPr>
            <w:tcW w:w="1469" w:type="dxa"/>
          </w:tcPr>
          <w:p w14:paraId="72739F50" w14:textId="77777777" w:rsidR="00F343D3" w:rsidRPr="00032AD9" w:rsidRDefault="00F343D3" w:rsidP="00A655ED">
            <w:pPr>
              <w:jc w:val="both"/>
              <w:rPr>
                <w:rFonts w:ascii="Times New Roman" w:hAnsi="Times New Roman" w:cs="Times New Roman"/>
                <w:lang w:val="en-GB"/>
              </w:rPr>
            </w:pPr>
          </w:p>
        </w:tc>
        <w:tc>
          <w:tcPr>
            <w:tcW w:w="5615" w:type="dxa"/>
          </w:tcPr>
          <w:p w14:paraId="58B3C2A9"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lang w:val="sr-Cyrl"/>
              </w:rPr>
              <w:t>То су супстанце које се користе за праћење кретања вода, загађивача или других супстанци у животној средини. Стабилни изотопи и племенити гасови се обично користе као трагачи да би се проучавали процеси попут тока подземних вода, преношења загађивача и биохемијских циклуса.</w:t>
            </w:r>
          </w:p>
          <w:p w14:paraId="033FBE51" w14:textId="77777777" w:rsidR="00F343D3" w:rsidRPr="00F343D3" w:rsidRDefault="00F343D3" w:rsidP="00A655ED">
            <w:pPr>
              <w:jc w:val="both"/>
              <w:rPr>
                <w:rFonts w:ascii="Times New Roman" w:hAnsi="Times New Roman" w:cs="Times New Roman"/>
                <w:lang w:val="sr-Cyrl"/>
              </w:rPr>
            </w:pPr>
          </w:p>
        </w:tc>
        <w:tc>
          <w:tcPr>
            <w:tcW w:w="616" w:type="dxa"/>
          </w:tcPr>
          <w:p w14:paraId="3F74D2A3" w14:textId="77777777" w:rsidR="00F343D3" w:rsidRPr="00032AD9" w:rsidRDefault="00F343D3" w:rsidP="00A655ED">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35</w:t>
            </w:r>
          </w:p>
        </w:tc>
      </w:tr>
      <w:tr w:rsidR="00F343D3" w:rsidRPr="00032AD9" w14:paraId="41CF0C21" w14:textId="77777777" w:rsidTr="2C6C7817">
        <w:tc>
          <w:tcPr>
            <w:tcW w:w="2062" w:type="dxa"/>
          </w:tcPr>
          <w:p w14:paraId="3F56F53A"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Екстензификација</w:t>
            </w:r>
          </w:p>
        </w:tc>
        <w:tc>
          <w:tcPr>
            <w:tcW w:w="1469" w:type="dxa"/>
          </w:tcPr>
          <w:p w14:paraId="060A90B5" w14:textId="77777777" w:rsidR="00F343D3" w:rsidRPr="00032AD9" w:rsidRDefault="00F343D3" w:rsidP="002A67F8">
            <w:pPr>
              <w:jc w:val="both"/>
              <w:rPr>
                <w:rFonts w:ascii="Times New Roman" w:hAnsi="Times New Roman" w:cs="Times New Roman"/>
                <w:lang w:val="en-GB"/>
              </w:rPr>
            </w:pPr>
          </w:p>
        </w:tc>
        <w:tc>
          <w:tcPr>
            <w:tcW w:w="5615" w:type="dxa"/>
          </w:tcPr>
          <w:p w14:paraId="5E5E330A" w14:textId="77777777" w:rsidR="00F343D3" w:rsidRPr="00032AD9" w:rsidRDefault="00F343D3" w:rsidP="002A67F8">
            <w:pPr>
              <w:jc w:val="both"/>
              <w:rPr>
                <w:rFonts w:ascii="Times New Roman" w:hAnsi="Times New Roman" w:cs="Times New Roman"/>
                <w:lang w:val="sr-Cyrl"/>
              </w:rPr>
            </w:pPr>
            <w:r w:rsidRPr="00032AD9">
              <w:rPr>
                <w:rFonts w:ascii="Times New Roman" w:hAnsi="Times New Roman" w:cs="Times New Roman"/>
                <w:lang w:val="sr-Cyrl"/>
              </w:rPr>
              <w:t xml:space="preserve">Процес смањења употребе капитала и инпута (нпр. ђубрива, пестицида, машина, енергије) у погледу површине земљишта. Због смањења инпута по површини земљишта може се смањити притисак на животну средину. Смањење коришћених пестицида може, </w:t>
            </w:r>
            <w:r w:rsidRPr="00032AD9">
              <w:rPr>
                <w:rFonts w:ascii="Times New Roman" w:hAnsi="Times New Roman" w:cs="Times New Roman"/>
                <w:lang w:val="sr-Cyrl"/>
              </w:rPr>
              <w:lastRenderedPageBreak/>
              <w:t>примера ради, смањити ризик од изливања пестицида у површинске и подземне воде („губитак по јединици површине“). Међутим, стварни ефекат смањења коришћења инпута на животну средину не зависи само од количине коришћених инпута већ и од тога како се они примењују и од мере у којој смањени инпути доводе до мање производње („губитак по јединици производа“). Стога, екстензификација не мора нужно довести до ситуације која је боља по животну средину.</w:t>
            </w:r>
          </w:p>
        </w:tc>
        <w:tc>
          <w:tcPr>
            <w:tcW w:w="616" w:type="dxa"/>
          </w:tcPr>
          <w:p w14:paraId="5ED8E4D1"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lastRenderedPageBreak/>
              <w:t>4</w:t>
            </w:r>
          </w:p>
        </w:tc>
      </w:tr>
      <w:tr w:rsidR="00F343D3" w:rsidRPr="00032AD9" w14:paraId="12F3CD06" w14:textId="77777777" w:rsidTr="2C6C7817">
        <w:tc>
          <w:tcPr>
            <w:tcW w:w="2062" w:type="dxa"/>
          </w:tcPr>
          <w:p w14:paraId="3F111E89"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Електрична проводљивост</w:t>
            </w:r>
          </w:p>
        </w:tc>
        <w:tc>
          <w:tcPr>
            <w:tcW w:w="1469" w:type="dxa"/>
          </w:tcPr>
          <w:p w14:paraId="0ECD51BA" w14:textId="77777777" w:rsidR="00F343D3" w:rsidRPr="00032AD9" w:rsidRDefault="00F343D3" w:rsidP="002A67F8">
            <w:pPr>
              <w:jc w:val="both"/>
              <w:rPr>
                <w:rFonts w:ascii="Times New Roman" w:hAnsi="Times New Roman" w:cs="Times New Roman"/>
                <w:lang w:val="en-GB"/>
              </w:rPr>
            </w:pPr>
          </w:p>
        </w:tc>
        <w:tc>
          <w:tcPr>
            <w:tcW w:w="5615" w:type="dxa"/>
          </w:tcPr>
          <w:p w14:paraId="75C50BE2" w14:textId="77777777" w:rsidR="00F343D3" w:rsidRPr="00032AD9" w:rsidRDefault="00F343D3" w:rsidP="002A67F8">
            <w:pPr>
              <w:jc w:val="both"/>
              <w:rPr>
                <w:rFonts w:ascii="Times New Roman" w:hAnsi="Times New Roman" w:cs="Times New Roman"/>
                <w:lang w:val="sr-Cyrl"/>
              </w:rPr>
            </w:pPr>
            <w:r w:rsidRPr="00032AD9">
              <w:rPr>
                <w:rFonts w:ascii="Times New Roman" w:hAnsi="Times New Roman" w:cs="Times New Roman"/>
                <w:lang w:val="sr-Cyrl"/>
              </w:rPr>
              <w:t>Мера способности материјала да проводи електрични набој. Користи се као мера салинитета земљишта и да би се процениле практичне последице по усеве. Електрична проводљивост суспензије земљишта према датом односу земљишта и воде (обично 1:5 или засићени екстракт као замена за раствор земљишта), изражена као Сименс по м.</w:t>
            </w:r>
          </w:p>
        </w:tc>
        <w:tc>
          <w:tcPr>
            <w:tcW w:w="616" w:type="dxa"/>
          </w:tcPr>
          <w:p w14:paraId="2365C99A"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w:t>
            </w:r>
          </w:p>
        </w:tc>
      </w:tr>
      <w:tr w:rsidR="00F343D3" w:rsidRPr="00032AD9" w14:paraId="13C99C3E" w14:textId="77777777" w:rsidTr="2C6C7817">
        <w:tc>
          <w:tcPr>
            <w:tcW w:w="2062" w:type="dxa"/>
          </w:tcPr>
          <w:p w14:paraId="2E0D1BDF" w14:textId="77777777" w:rsidR="00F343D3" w:rsidRPr="00032AD9" w:rsidRDefault="00F343D3" w:rsidP="00A655ED">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Елементи у траговима</w:t>
            </w:r>
          </w:p>
        </w:tc>
        <w:tc>
          <w:tcPr>
            <w:tcW w:w="1469" w:type="dxa"/>
          </w:tcPr>
          <w:p w14:paraId="47F318CC" w14:textId="77777777" w:rsidR="00F343D3" w:rsidRPr="00032AD9" w:rsidRDefault="00F343D3" w:rsidP="00A655ED">
            <w:pPr>
              <w:jc w:val="both"/>
              <w:rPr>
                <w:rFonts w:ascii="Times New Roman" w:hAnsi="Times New Roman" w:cs="Times New Roman"/>
                <w:lang w:val="en-GB"/>
              </w:rPr>
            </w:pPr>
          </w:p>
        </w:tc>
        <w:tc>
          <w:tcPr>
            <w:tcW w:w="5615" w:type="dxa"/>
          </w:tcPr>
          <w:p w14:paraId="540B1B55"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lang w:val="sr-Cyrl"/>
              </w:rPr>
              <w:t>Схватају се као индикатори или остаци који пружају доказе о претходним догађајима или условима. То може обухватати и физичке ознаке остављене у средини, као што су узорци земљишта који говоре за шта се оно у прошлости користило или хемијске трагове који откривају информације о нивоима загађености или еколошким променама. Ови елементи су присутни у врло малим количинама у датом окружењу, типично мање од 100. дела милиона (ppm) или 100 mg/kg. Они могу бити од суштинског значаја за организме или токсични по њих, у зависности од концентрације. Елементи као што су арсеник (As), кадмијум (Cd), и олово (Pb) често се проучавају као елементи у траговима због њиховог потенцијалног утицаја на животну средину и здравље.</w:t>
            </w:r>
          </w:p>
        </w:tc>
        <w:tc>
          <w:tcPr>
            <w:tcW w:w="616" w:type="dxa"/>
          </w:tcPr>
          <w:p w14:paraId="492461D2" w14:textId="77777777" w:rsidR="00F343D3" w:rsidRPr="00032AD9" w:rsidRDefault="00F343D3" w:rsidP="00A655ED">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34</w:t>
            </w:r>
          </w:p>
        </w:tc>
      </w:tr>
      <w:tr w:rsidR="00F343D3" w:rsidRPr="00032AD9" w14:paraId="75F904E0" w14:textId="77777777" w:rsidTr="2C6C7817">
        <w:tc>
          <w:tcPr>
            <w:tcW w:w="2062" w:type="dxa"/>
          </w:tcPr>
          <w:p w14:paraId="387BC007"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Ерозија земљишта</w:t>
            </w:r>
          </w:p>
        </w:tc>
        <w:tc>
          <w:tcPr>
            <w:tcW w:w="1469" w:type="dxa"/>
          </w:tcPr>
          <w:p w14:paraId="7E82ADA6" w14:textId="77777777" w:rsidR="00F343D3" w:rsidRPr="00032AD9" w:rsidRDefault="00F343D3" w:rsidP="002A67F8">
            <w:pPr>
              <w:jc w:val="both"/>
              <w:rPr>
                <w:rFonts w:ascii="Times New Roman" w:hAnsi="Times New Roman" w:cs="Times New Roman"/>
                <w:lang w:val="en-GB"/>
              </w:rPr>
            </w:pPr>
          </w:p>
        </w:tc>
        <w:tc>
          <w:tcPr>
            <w:tcW w:w="5615" w:type="dxa"/>
          </w:tcPr>
          <w:p w14:paraId="764CA2BA" w14:textId="77777777" w:rsidR="00F343D3" w:rsidRPr="00032AD9" w:rsidRDefault="00F343D3" w:rsidP="00E03E8D">
            <w:pPr>
              <w:jc w:val="both"/>
              <w:rPr>
                <w:rFonts w:ascii="Times New Roman" w:hAnsi="Times New Roman" w:cs="Times New Roman"/>
                <w:lang w:val="sr-Cyrl"/>
              </w:rPr>
            </w:pPr>
            <w:bookmarkStart w:id="0" w:name="_Hlk187700130"/>
            <w:r w:rsidRPr="00032AD9">
              <w:rPr>
                <w:rFonts w:ascii="Times New Roman" w:hAnsi="Times New Roman" w:cs="Times New Roman"/>
                <w:lang w:val="sr-Cyrl"/>
              </w:rPr>
              <w:t xml:space="preserve">Ерозија је скидање земље или тла путем једног или више процеса. Главни узроци ерозије обухватају деловање воде (браздаста ерозија, површинска ерозија, јаругаста ерозија, ерозија услед отапања снега, као и ерозија обала река и језера), ветра (исушивање и еолска ерозија), премештање (обрада земљишта, поравнавање терена, жетва коренастих усева, гажење и копање од стране животиња) и геолошке процесе (унутрашња подземна ерозија изазвана подземним водама, приобална ерозија и клизишта). Ерозија може бити још већа због лошег управљања земљом, примера ради прекомерном испашом, крчењем шума или неодговарајућом употребом механизације (нпр. орање низбрдо). </w:t>
            </w:r>
          </w:p>
          <w:bookmarkEnd w:id="0"/>
          <w:p w14:paraId="750BA949" w14:textId="77777777" w:rsidR="00F343D3" w:rsidRPr="00032AD9" w:rsidRDefault="00F343D3" w:rsidP="00E03E8D">
            <w:pPr>
              <w:jc w:val="both"/>
              <w:rPr>
                <w:rFonts w:ascii="Times New Roman" w:hAnsi="Times New Roman" w:cs="Times New Roman"/>
                <w:lang w:val="sr-Cyrl"/>
              </w:rPr>
            </w:pPr>
            <w:r w:rsidRPr="00032AD9">
              <w:rPr>
                <w:rFonts w:ascii="Times New Roman" w:hAnsi="Times New Roman" w:cs="Times New Roman"/>
                <w:lang w:val="sr-Cyrl"/>
              </w:rPr>
              <w:t xml:space="preserve">Пример катене ерозије земљишта по </w:t>
            </w:r>
            <w:r w:rsidRPr="00032AD9">
              <w:rPr>
                <w:rFonts w:ascii="Times New Roman" w:hAnsi="Times New Roman" w:cs="Times New Roman"/>
                <w:color w:val="000000" w:themeColor="text1"/>
                <w:lang w:val="sr-Cyrl"/>
              </w:rPr>
              <w:t xml:space="preserve">Раџијуку (Radziuk) и Швитоњаку (Świtoniak) (2022; </w:t>
            </w:r>
            <w:r w:rsidRPr="00032AD9">
              <w:rPr>
                <w:rFonts w:ascii="Times New Roman" w:hAnsi="Times New Roman" w:cs="Times New Roman"/>
                <w:lang w:val="sr-Cyrl"/>
              </w:rPr>
              <w:t>6).</w:t>
            </w:r>
          </w:p>
          <w:p w14:paraId="5B6A4F20" w14:textId="77777777" w:rsidR="00F343D3" w:rsidRPr="00032AD9" w:rsidRDefault="00F343D3" w:rsidP="00E03E8D">
            <w:pPr>
              <w:jc w:val="both"/>
              <w:rPr>
                <w:rFonts w:ascii="Times New Roman" w:hAnsi="Times New Roman" w:cs="Times New Roman"/>
                <w:lang w:val="sr-Cyrl"/>
              </w:rPr>
            </w:pPr>
          </w:p>
          <w:p w14:paraId="186A7756" w14:textId="77777777" w:rsidR="00F343D3" w:rsidRPr="00032AD9" w:rsidRDefault="00F343D3" w:rsidP="002A67F8">
            <w:pPr>
              <w:jc w:val="both"/>
              <w:rPr>
                <w:rFonts w:ascii="Times New Roman" w:hAnsi="Times New Roman" w:cs="Times New Roman"/>
                <w:lang w:val="en-GB"/>
              </w:rPr>
            </w:pPr>
            <w:r w:rsidRPr="00032AD9">
              <w:rPr>
                <w:rFonts w:ascii="Times New Roman" w:hAnsi="Times New Roman" w:cs="Times New Roman"/>
                <w:noProof/>
                <w:lang w:val="sr-Cyrl"/>
              </w:rPr>
              <w:lastRenderedPageBreak/>
              <w:drawing>
                <wp:inline distT="0" distB="0" distL="0" distR="0" wp14:anchorId="7F286D8B" wp14:editId="4CFF5B31">
                  <wp:extent cx="3393110" cy="3214756"/>
                  <wp:effectExtent l="0" t="0" r="0" b="0"/>
                  <wp:docPr id="15679948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1980" cy="3223160"/>
                          </a:xfrm>
                          <a:prstGeom prst="rect">
                            <a:avLst/>
                          </a:prstGeom>
                        </pic:spPr>
                      </pic:pic>
                    </a:graphicData>
                  </a:graphic>
                </wp:inline>
              </w:drawing>
            </w:r>
          </w:p>
          <w:p w14:paraId="4770E99F" w14:textId="77777777" w:rsidR="00F343D3" w:rsidRPr="00032AD9" w:rsidRDefault="00F343D3" w:rsidP="002A67F8">
            <w:pPr>
              <w:jc w:val="both"/>
              <w:rPr>
                <w:rStyle w:val="Hyperlink"/>
                <w:rFonts w:ascii="Times New Roman" w:hAnsi="Times New Roman" w:cs="Times New Roman"/>
                <w:color w:val="000000" w:themeColor="text1"/>
                <w:u w:val="none"/>
                <w:lang w:val="en-GB"/>
              </w:rPr>
            </w:pPr>
            <w:r w:rsidRPr="00032AD9">
              <w:rPr>
                <w:rFonts w:ascii="Times New Roman" w:hAnsi="Times New Roman" w:cs="Times New Roman"/>
                <w:lang w:val="sr-Cyrl"/>
              </w:rPr>
              <w:t>Извор:</w:t>
            </w:r>
            <w:r w:rsidRPr="00032AD9">
              <w:rPr>
                <w:rFonts w:ascii="Times New Roman" w:hAnsi="Times New Roman" w:cs="Times New Roman"/>
                <w:color w:val="000000" w:themeColor="text1"/>
                <w:lang w:val="sr-Cyrl"/>
              </w:rPr>
              <w:t xml:space="preserve"> Radziuk and Świtoniak. 2022. Agronomy (MDPI), </w:t>
            </w:r>
            <w:r>
              <w:fldChar w:fldCharType="begin"/>
            </w:r>
            <w:r w:rsidRPr="00F343D3">
              <w:rPr>
                <w:lang w:val="en-GB"/>
              </w:rPr>
              <w:instrText>HYPERLINK "https://doi.org/10.3390/agronomy12112595"</w:instrText>
            </w:r>
            <w:r>
              <w:fldChar w:fldCharType="separate"/>
            </w:r>
            <w:r w:rsidRPr="00032AD9">
              <w:rPr>
                <w:rStyle w:val="Hyperlink"/>
                <w:rFonts w:ascii="Times New Roman" w:hAnsi="Times New Roman" w:cs="Times New Roman"/>
                <w:color w:val="000000" w:themeColor="text1"/>
                <w:u w:val="none"/>
                <w:lang w:val="sr-Cyrl"/>
              </w:rPr>
              <w:t>https://doi.org/10.3390/agronomy12112595</w:t>
            </w:r>
            <w:r>
              <w:fldChar w:fldCharType="end"/>
            </w:r>
          </w:p>
          <w:p w14:paraId="51BF4843" w14:textId="77777777" w:rsidR="00F343D3" w:rsidRPr="00032AD9" w:rsidRDefault="00F343D3" w:rsidP="002A67F8">
            <w:pPr>
              <w:jc w:val="both"/>
              <w:rPr>
                <w:rFonts w:ascii="Times New Roman" w:hAnsi="Times New Roman" w:cs="Times New Roman"/>
                <w:lang w:val="en-GB"/>
              </w:rPr>
            </w:pPr>
          </w:p>
        </w:tc>
        <w:tc>
          <w:tcPr>
            <w:tcW w:w="616" w:type="dxa"/>
          </w:tcPr>
          <w:p w14:paraId="32440177"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lastRenderedPageBreak/>
              <w:t>13,6</w:t>
            </w:r>
          </w:p>
        </w:tc>
      </w:tr>
      <w:tr w:rsidR="00F343D3" w:rsidRPr="00032AD9" w14:paraId="0E8B4CF3" w14:textId="77777777" w:rsidTr="2C6C7817">
        <w:tc>
          <w:tcPr>
            <w:tcW w:w="2062" w:type="dxa"/>
          </w:tcPr>
          <w:p w14:paraId="6D3CECA0"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Еутрофикација</w:t>
            </w:r>
          </w:p>
        </w:tc>
        <w:tc>
          <w:tcPr>
            <w:tcW w:w="1469" w:type="dxa"/>
          </w:tcPr>
          <w:p w14:paraId="554E9BA7" w14:textId="77777777" w:rsidR="00F343D3" w:rsidRPr="00032AD9" w:rsidRDefault="00F343D3" w:rsidP="002A67F8">
            <w:pPr>
              <w:jc w:val="both"/>
              <w:rPr>
                <w:rFonts w:ascii="Times New Roman" w:hAnsi="Times New Roman" w:cs="Times New Roman"/>
                <w:lang w:val="en-GB"/>
              </w:rPr>
            </w:pPr>
          </w:p>
        </w:tc>
        <w:tc>
          <w:tcPr>
            <w:tcW w:w="5615" w:type="dxa"/>
          </w:tcPr>
          <w:p w14:paraId="43B6344D" w14:textId="77777777" w:rsidR="00F343D3" w:rsidRPr="00032AD9" w:rsidRDefault="00F343D3" w:rsidP="002A67F8">
            <w:pPr>
              <w:jc w:val="both"/>
              <w:rPr>
                <w:rFonts w:ascii="Times New Roman" w:hAnsi="Times New Roman" w:cs="Times New Roman"/>
                <w:lang w:val="sr-Cyrl"/>
              </w:rPr>
            </w:pPr>
            <w:r w:rsidRPr="00032AD9">
              <w:rPr>
                <w:rFonts w:ascii="Times New Roman" w:hAnsi="Times New Roman" w:cs="Times New Roman"/>
                <w:lang w:val="sr-Cyrl"/>
              </w:rPr>
              <w:t>Процес којима водена површина, као што је језеро или раствор земљишта, постане обогаћено раствореним хранљивим материјама. То може бити и природан процес, али често се дешава због загађења. Еутрофикација може имати као последицу цветање алги што на крају доводи до анаеробних услова који могу нашкодити рибама.</w:t>
            </w:r>
          </w:p>
        </w:tc>
        <w:tc>
          <w:tcPr>
            <w:tcW w:w="616" w:type="dxa"/>
          </w:tcPr>
          <w:p w14:paraId="4001579F"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w:t>
            </w:r>
          </w:p>
        </w:tc>
      </w:tr>
      <w:tr w:rsidR="00F343D3" w:rsidRPr="00032AD9" w14:paraId="0239BB49" w14:textId="77777777" w:rsidTr="2C6C7817">
        <w:tc>
          <w:tcPr>
            <w:tcW w:w="2062" w:type="dxa"/>
          </w:tcPr>
          <w:p w14:paraId="1113C61F" w14:textId="77777777" w:rsidR="00F343D3" w:rsidRPr="00032AD9" w:rsidRDefault="00F343D3" w:rsidP="00A655ED">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Живи систем</w:t>
            </w:r>
          </w:p>
        </w:tc>
        <w:tc>
          <w:tcPr>
            <w:tcW w:w="1469" w:type="dxa"/>
          </w:tcPr>
          <w:p w14:paraId="3EA43D72" w14:textId="77777777" w:rsidR="00F343D3" w:rsidRPr="00032AD9" w:rsidRDefault="00F343D3" w:rsidP="00A655ED">
            <w:pPr>
              <w:jc w:val="both"/>
              <w:rPr>
                <w:rFonts w:ascii="Times New Roman" w:hAnsi="Times New Roman" w:cs="Times New Roman"/>
                <w:lang w:val="en-GB"/>
              </w:rPr>
            </w:pPr>
          </w:p>
        </w:tc>
        <w:tc>
          <w:tcPr>
            <w:tcW w:w="5615" w:type="dxa"/>
          </w:tcPr>
          <w:p w14:paraId="3DD6225E"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lang w:val="sr-Cyrl"/>
              </w:rPr>
              <w:t>У контексту науке о животној средини, то се односи на сваку биолошку јединицу или заједницу која ступа у интеракцију са својом средином и показује карактеристике живота. То обухвата не само појединачне организме већ и популације, заједнице, екосистеме и биосферу као такву. Примери живих система су екосистеми, заједнице микроба или прехрамбене мреже.</w:t>
            </w:r>
          </w:p>
          <w:p w14:paraId="5AF155D3"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lang w:val="sr-Cyrl"/>
              </w:rPr>
              <w:t>Разумевање живих система је од суштинског значаја за развој одрживе праксе животне средине и политика које за циљ имају очување биодиверзитета и здравља екосистема.</w:t>
            </w:r>
          </w:p>
          <w:p w14:paraId="77766C25" w14:textId="77777777" w:rsidR="00F343D3" w:rsidRPr="00F343D3" w:rsidRDefault="00F343D3" w:rsidP="00A655ED">
            <w:pPr>
              <w:jc w:val="both"/>
              <w:rPr>
                <w:rFonts w:ascii="Times New Roman" w:hAnsi="Times New Roman" w:cs="Times New Roman"/>
                <w:lang w:val="sr-Cyrl"/>
              </w:rPr>
            </w:pPr>
          </w:p>
          <w:p w14:paraId="151FC83F"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lang w:val="sr-Cyrl"/>
              </w:rPr>
              <w:t xml:space="preserve">Карактеристике живих система: </w:t>
            </w:r>
          </w:p>
          <w:p w14:paraId="7F51D5A6"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b/>
                <w:lang w:val="sr-Cyrl"/>
              </w:rPr>
              <w:t>Међуповезаност</w:t>
            </w:r>
            <w:r w:rsidRPr="00032AD9">
              <w:rPr>
                <w:rFonts w:ascii="Times New Roman" w:hAnsi="Times New Roman" w:cs="Times New Roman"/>
                <w:lang w:val="sr-Cyrl"/>
              </w:rPr>
              <w:t>: Живе системе карактеришу сложене интеракције разних компонената, укључујући организме (биљке, животиње, микроорганизме) и њиховог физичког окружења (земљишта, воде, ваздуха). Те интеракције могу утицати на кружење хранљивих материја, проток енергије и свеукупно здравље екосистема.</w:t>
            </w:r>
          </w:p>
          <w:p w14:paraId="017E4D6D"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b/>
                <w:lang w:val="sr-Cyrl"/>
              </w:rPr>
              <w:t>Прилагођавање и еволуција</w:t>
            </w:r>
            <w:r w:rsidRPr="00032AD9">
              <w:rPr>
                <w:rFonts w:ascii="Times New Roman" w:hAnsi="Times New Roman" w:cs="Times New Roman"/>
                <w:lang w:val="sr-Cyrl"/>
              </w:rPr>
              <w:t>: Живи системи се прилагођавају променама у животној средини током времена путем еволутивних процеса. Та прилагодљивост је кључна за опстанак у променљивој клими и екосистемима.</w:t>
            </w:r>
          </w:p>
          <w:p w14:paraId="656CF57C"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b/>
                <w:lang w:val="sr-Cyrl"/>
              </w:rPr>
              <w:t>Одрживост</w:t>
            </w:r>
            <w:r w:rsidRPr="00032AD9">
              <w:rPr>
                <w:rFonts w:ascii="Times New Roman" w:hAnsi="Times New Roman" w:cs="Times New Roman"/>
                <w:lang w:val="sr-Cyrl"/>
              </w:rPr>
              <w:t xml:space="preserve">: У науци о животној средини, живи системи наглашавају одрживост – способност задржавања </w:t>
            </w:r>
            <w:r w:rsidRPr="00032AD9">
              <w:rPr>
                <w:rFonts w:ascii="Times New Roman" w:hAnsi="Times New Roman" w:cs="Times New Roman"/>
                <w:lang w:val="sr-Cyrl"/>
              </w:rPr>
              <w:lastRenderedPageBreak/>
              <w:t>еколошке равнотеже и подршке животу на дуге стазе. То обухвата праксе које подстичу биодиверзитет и резилијенцију у односу на факторе стреса у животној средини.</w:t>
            </w:r>
          </w:p>
          <w:p w14:paraId="20127A4E"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b/>
                <w:lang w:val="sr-Cyrl"/>
              </w:rPr>
              <w:t>Услуге екосистема</w:t>
            </w:r>
            <w:r w:rsidRPr="00032AD9">
              <w:rPr>
                <w:rFonts w:ascii="Times New Roman" w:hAnsi="Times New Roman" w:cs="Times New Roman"/>
                <w:lang w:val="sr-Cyrl"/>
              </w:rPr>
              <w:t>: Живи системи пружају основне услуге као што су опрашивање, пречишћавање вода, секвестрација угљеника и плодност земљишта. Разумевање ових услуга је од кључног значаја за управљање природним ресурсима и решавање изазова животне средине.</w:t>
            </w:r>
          </w:p>
          <w:p w14:paraId="7FEAC29F"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b/>
                <w:lang w:val="sr-Cyrl"/>
              </w:rPr>
              <w:t>Људски утицај</w:t>
            </w:r>
            <w:r w:rsidRPr="00032AD9">
              <w:rPr>
                <w:rFonts w:ascii="Times New Roman" w:hAnsi="Times New Roman" w:cs="Times New Roman"/>
                <w:lang w:val="sr-Cyrl"/>
              </w:rPr>
              <w:t>: Људске активности значајно утичу на живе системе путем загађења, уништења станишта, климатских промена и експлоатације ресурса. Наука о животној средини покушава да разуме те утицаје и развије стратегије за ублажавање и враћање у првобитно стање.</w:t>
            </w:r>
          </w:p>
          <w:p w14:paraId="6C39481E" w14:textId="77777777" w:rsidR="00F343D3" w:rsidRPr="00F343D3" w:rsidRDefault="00F343D3" w:rsidP="00A655ED">
            <w:pPr>
              <w:jc w:val="both"/>
              <w:rPr>
                <w:rFonts w:ascii="Times New Roman" w:hAnsi="Times New Roman" w:cs="Times New Roman"/>
                <w:lang w:val="sr-Cyrl"/>
              </w:rPr>
            </w:pPr>
          </w:p>
        </w:tc>
        <w:tc>
          <w:tcPr>
            <w:tcW w:w="616" w:type="dxa"/>
          </w:tcPr>
          <w:p w14:paraId="6C909890" w14:textId="77777777" w:rsidR="00F343D3" w:rsidRPr="00032AD9" w:rsidRDefault="00F343D3" w:rsidP="00A655ED">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lastRenderedPageBreak/>
              <w:t>19, 20</w:t>
            </w:r>
          </w:p>
        </w:tc>
      </w:tr>
      <w:tr w:rsidR="00F343D3" w:rsidRPr="00032AD9" w14:paraId="0C3F5C6C" w14:textId="77777777" w:rsidTr="2C6C7817">
        <w:tc>
          <w:tcPr>
            <w:tcW w:w="2062" w:type="dxa"/>
          </w:tcPr>
          <w:p w14:paraId="7BD29371"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Загађење земљишта</w:t>
            </w:r>
          </w:p>
        </w:tc>
        <w:tc>
          <w:tcPr>
            <w:tcW w:w="1469" w:type="dxa"/>
          </w:tcPr>
          <w:p w14:paraId="586F5189" w14:textId="77777777" w:rsidR="00F343D3" w:rsidRPr="00032AD9" w:rsidRDefault="00F343D3" w:rsidP="00525540">
            <w:pPr>
              <w:jc w:val="both"/>
              <w:rPr>
                <w:rFonts w:ascii="Times New Roman" w:hAnsi="Times New Roman" w:cs="Times New Roman"/>
                <w:lang w:val="en-GB"/>
              </w:rPr>
            </w:pPr>
          </w:p>
        </w:tc>
        <w:tc>
          <w:tcPr>
            <w:tcW w:w="5615" w:type="dxa"/>
          </w:tcPr>
          <w:p w14:paraId="4197CC83" w14:textId="77777777" w:rsidR="00F343D3" w:rsidRPr="00F343D3" w:rsidRDefault="00F343D3" w:rsidP="00525540">
            <w:pPr>
              <w:jc w:val="both"/>
              <w:rPr>
                <w:rFonts w:ascii="Times New Roman" w:hAnsi="Times New Roman" w:cs="Times New Roman"/>
                <w:lang w:val="sr-Cyrl"/>
              </w:rPr>
            </w:pPr>
            <w:r w:rsidRPr="00032AD9">
              <w:rPr>
                <w:rFonts w:ascii="Times New Roman" w:hAnsi="Times New Roman" w:cs="Times New Roman"/>
                <w:lang w:val="sr-Cyrl"/>
              </w:rPr>
              <w:t>Присуство хемикалија или супстанци у земљишту у концентрацији која може бити штетна по људско здравље или животну средину. Загађење може имати директан токсичан ефекат на биљке, животиње или људе који живи у, на или од тог земљишта или може имати индиректан токсични ефекат због акумулације у целом ланцу исхране.</w:t>
            </w:r>
          </w:p>
        </w:tc>
        <w:tc>
          <w:tcPr>
            <w:tcW w:w="616" w:type="dxa"/>
          </w:tcPr>
          <w:p w14:paraId="778D8BF6"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2, 4</w:t>
            </w:r>
          </w:p>
        </w:tc>
      </w:tr>
      <w:tr w:rsidR="00F343D3" w:rsidRPr="00032AD9" w14:paraId="2F1031BA" w14:textId="77777777" w:rsidTr="2C6C7817">
        <w:tc>
          <w:tcPr>
            <w:tcW w:w="2062" w:type="dxa"/>
          </w:tcPr>
          <w:p w14:paraId="75C95F0B"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Загађивач</w:t>
            </w:r>
          </w:p>
        </w:tc>
        <w:tc>
          <w:tcPr>
            <w:tcW w:w="1469" w:type="dxa"/>
          </w:tcPr>
          <w:p w14:paraId="49501199" w14:textId="77777777" w:rsidR="00F343D3" w:rsidRPr="00032AD9" w:rsidRDefault="00F343D3" w:rsidP="00525540">
            <w:pPr>
              <w:jc w:val="both"/>
              <w:rPr>
                <w:rFonts w:ascii="Times New Roman" w:hAnsi="Times New Roman" w:cs="Times New Roman"/>
                <w:lang w:val="en-GB"/>
              </w:rPr>
            </w:pPr>
          </w:p>
        </w:tc>
        <w:tc>
          <w:tcPr>
            <w:tcW w:w="5615" w:type="dxa"/>
          </w:tcPr>
          <w:p w14:paraId="1FBFE3F0"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Супстанца или једињење присутно у земљишту (или подземној води) које, због својих својстава, количине или концентрације, негативно утиче на функцију земљишта и на биоту земљишта и другу живу биоту.</w:t>
            </w:r>
          </w:p>
        </w:tc>
        <w:tc>
          <w:tcPr>
            <w:tcW w:w="616" w:type="dxa"/>
          </w:tcPr>
          <w:p w14:paraId="1F98415C"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2</w:t>
            </w:r>
          </w:p>
        </w:tc>
      </w:tr>
      <w:tr w:rsidR="00F343D3" w:rsidRPr="00032AD9" w14:paraId="31A9B2ED" w14:textId="77777777" w:rsidTr="2C6C7817">
        <w:tc>
          <w:tcPr>
            <w:tcW w:w="2062" w:type="dxa"/>
          </w:tcPr>
          <w:p w14:paraId="1B50751A" w14:textId="77777777" w:rsidR="00F343D3" w:rsidRPr="00032AD9" w:rsidRDefault="00F343D3" w:rsidP="4F734429">
            <w:pPr>
              <w:rPr>
                <w:rFonts w:ascii="Times New Roman" w:hAnsi="Times New Roman" w:cs="Times New Roman"/>
                <w:b/>
                <w:bCs/>
                <w:color w:val="3A7C22" w:themeColor="accent6" w:themeShade="BF"/>
                <w:lang w:val="en-GB"/>
              </w:rPr>
            </w:pPr>
            <w:r w:rsidRPr="00032AD9">
              <w:rPr>
                <w:rFonts w:ascii="Times New Roman" w:hAnsi="Times New Roman" w:cs="Times New Roman"/>
                <w:b/>
                <w:bCs/>
                <w:color w:val="3A7C22" w:themeColor="accent6" w:themeShade="BF"/>
                <w:lang w:val="sr-Cyrl"/>
              </w:rPr>
              <w:t>Закисељавање</w:t>
            </w:r>
          </w:p>
        </w:tc>
        <w:tc>
          <w:tcPr>
            <w:tcW w:w="1469" w:type="dxa"/>
          </w:tcPr>
          <w:p w14:paraId="78A939B0" w14:textId="77777777" w:rsidR="00F343D3" w:rsidRPr="00032AD9" w:rsidRDefault="00F343D3" w:rsidP="002A67F8">
            <w:pPr>
              <w:jc w:val="both"/>
              <w:rPr>
                <w:rFonts w:ascii="Times New Roman" w:hAnsi="Times New Roman" w:cs="Times New Roman"/>
                <w:lang w:val="en-GB"/>
              </w:rPr>
            </w:pPr>
          </w:p>
        </w:tc>
        <w:tc>
          <w:tcPr>
            <w:tcW w:w="5615" w:type="dxa"/>
          </w:tcPr>
          <w:p w14:paraId="0F170D93" w14:textId="77777777" w:rsidR="00F343D3" w:rsidRPr="00032AD9" w:rsidRDefault="00F343D3" w:rsidP="002A67F8">
            <w:pPr>
              <w:jc w:val="both"/>
              <w:rPr>
                <w:rFonts w:ascii="Times New Roman" w:hAnsi="Times New Roman" w:cs="Times New Roman"/>
                <w:lang w:val="sr-Cyrl"/>
              </w:rPr>
            </w:pPr>
            <w:bookmarkStart w:id="1" w:name="_Hlk187700470"/>
            <w:r w:rsidRPr="00032AD9">
              <w:rPr>
                <w:rFonts w:ascii="Times New Roman" w:hAnsi="Times New Roman" w:cs="Times New Roman"/>
                <w:lang w:val="sr-Cyrl"/>
              </w:rPr>
              <w:t>Процес постепеног повећања концентрације водоничних јона у земљишту, који настаје услед уклањања благо алкалних јона жетвом, испирања и примене закисељавајућих врста азотних (N) ђубрива. Овај процес убрзавају природне компоненте земљишта, укључујући матични супстрат, или га оне не могу неутралисати у довољној мери.</w:t>
            </w:r>
            <w:bookmarkEnd w:id="1"/>
          </w:p>
        </w:tc>
        <w:tc>
          <w:tcPr>
            <w:tcW w:w="616" w:type="dxa"/>
          </w:tcPr>
          <w:p w14:paraId="027084F7"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3</w:t>
            </w:r>
          </w:p>
        </w:tc>
      </w:tr>
      <w:tr w:rsidR="00F343D3" w:rsidRPr="00032AD9" w14:paraId="0744669E" w14:textId="77777777" w:rsidTr="2C6C7817">
        <w:tc>
          <w:tcPr>
            <w:tcW w:w="2062" w:type="dxa"/>
          </w:tcPr>
          <w:p w14:paraId="5641F49B"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Заменска вредност ђубрива</w:t>
            </w:r>
          </w:p>
        </w:tc>
        <w:tc>
          <w:tcPr>
            <w:tcW w:w="1469" w:type="dxa"/>
          </w:tcPr>
          <w:p w14:paraId="3B51CC3B" w14:textId="77777777" w:rsidR="00F343D3" w:rsidRPr="00032AD9" w:rsidRDefault="00F343D3" w:rsidP="00525540">
            <w:pPr>
              <w:jc w:val="both"/>
              <w:rPr>
                <w:rFonts w:ascii="Times New Roman" w:hAnsi="Times New Roman" w:cs="Times New Roman"/>
                <w:lang w:val="en-GB"/>
              </w:rPr>
            </w:pPr>
          </w:p>
        </w:tc>
        <w:tc>
          <w:tcPr>
            <w:tcW w:w="5615" w:type="dxa"/>
          </w:tcPr>
          <w:p w14:paraId="4C14B8D1" w14:textId="77777777" w:rsidR="00F343D3" w:rsidRPr="00032AD9" w:rsidRDefault="00F343D3" w:rsidP="00525540">
            <w:pPr>
              <w:jc w:val="both"/>
              <w:rPr>
                <w:rFonts w:ascii="Times New Roman" w:hAnsi="Times New Roman" w:cs="Times New Roman"/>
                <w:lang w:val="sr-Cyrl"/>
              </w:rPr>
            </w:pPr>
            <w:r w:rsidRPr="00032AD9">
              <w:rPr>
                <w:rFonts w:ascii="Times New Roman" w:hAnsi="Times New Roman" w:cs="Times New Roman"/>
                <w:lang w:val="sr-Cyrl"/>
              </w:rPr>
              <w:t>Изражава се у kg/100 kg и квантификује количину хранљивих материја (нпр. азота, фосфора, калијума) у 100 килограма извора органских хранљивих материја (попут стајског ђубрива, компоста или остатака биљака) који је једнак количини хранљивих материја која се добија из минералних ђубрива.</w:t>
            </w:r>
            <w:r w:rsidRPr="00032AD9">
              <w:rPr>
                <w:lang w:val="sr-Cyrl"/>
              </w:rPr>
              <w:t xml:space="preserve"> На пример, </w:t>
            </w:r>
            <w:r w:rsidRPr="00032AD9">
              <w:rPr>
                <w:rFonts w:ascii="Times New Roman" w:hAnsi="Times New Roman" w:cs="Times New Roman"/>
                <w:lang w:val="sr-Cyrl"/>
              </w:rPr>
              <w:t>ако 100 kg стајског ђубрива има заменску вредност ђубрива 3 kg за фосфор (P), оно пружа исту количину доступног фосфора као 3 kg минералног фосфорног ђубрива.</w:t>
            </w:r>
          </w:p>
          <w:p w14:paraId="52030B68" w14:textId="77777777" w:rsidR="00F343D3" w:rsidRPr="00032AD9" w:rsidRDefault="00F343D3" w:rsidP="00525540">
            <w:pPr>
              <w:jc w:val="both"/>
              <w:rPr>
                <w:rFonts w:ascii="Times New Roman" w:hAnsi="Times New Roman" w:cs="Times New Roman"/>
                <w:lang w:val="sr-Cyrl"/>
              </w:rPr>
            </w:pPr>
            <w:r w:rsidRPr="00032AD9">
              <w:rPr>
                <w:rFonts w:ascii="Times New Roman" w:hAnsi="Times New Roman" w:cs="Times New Roman"/>
                <w:lang w:val="sr-Cyrl"/>
              </w:rPr>
              <w:t xml:space="preserve">Овај податак помаже пољопривредницима да упореде допринос хранљивих материја органских ђубрива у поређењу са синтетичким ђубривима и да одлучују о управљању хранљивим материјама на основу података. </w:t>
            </w:r>
          </w:p>
        </w:tc>
        <w:tc>
          <w:tcPr>
            <w:tcW w:w="616" w:type="dxa"/>
          </w:tcPr>
          <w:p w14:paraId="59D97AAF"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4, 42</w:t>
            </w:r>
          </w:p>
        </w:tc>
      </w:tr>
      <w:tr w:rsidR="00F343D3" w:rsidRPr="00032AD9" w14:paraId="3097DEA4" w14:textId="77777777" w:rsidTr="2C6C7817">
        <w:tc>
          <w:tcPr>
            <w:tcW w:w="2062" w:type="dxa"/>
          </w:tcPr>
          <w:p w14:paraId="6621631C" w14:textId="77777777" w:rsidR="00F343D3" w:rsidRPr="00032AD9" w:rsidRDefault="00F343D3" w:rsidP="00A655ED">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Занимљиве методологије</w:t>
            </w:r>
          </w:p>
        </w:tc>
        <w:tc>
          <w:tcPr>
            <w:tcW w:w="1469" w:type="dxa"/>
          </w:tcPr>
          <w:p w14:paraId="29E40D5A" w14:textId="77777777" w:rsidR="00F343D3" w:rsidRPr="00032AD9" w:rsidRDefault="00F343D3" w:rsidP="00A655ED">
            <w:pPr>
              <w:jc w:val="both"/>
              <w:rPr>
                <w:rFonts w:ascii="Times New Roman" w:hAnsi="Times New Roman" w:cs="Times New Roman"/>
                <w:lang w:val="en-GB"/>
              </w:rPr>
            </w:pPr>
          </w:p>
        </w:tc>
        <w:tc>
          <w:tcPr>
            <w:tcW w:w="5615" w:type="dxa"/>
          </w:tcPr>
          <w:p w14:paraId="2CE109EB"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lang w:val="sr-Cyrl"/>
              </w:rPr>
              <w:t>Иновативни приступи који активно укључују учеснике у процес учења или комуникацију. Ове методологије су осмишљене да стимулишу интеракцију, сарадњу и критичко размишљање, повећавајући ефективност образовних иницијатива и комуникације. Карактерише их интерактивност, релевантност, механизми давања повратних информација и употреба технологије.</w:t>
            </w:r>
          </w:p>
        </w:tc>
        <w:tc>
          <w:tcPr>
            <w:tcW w:w="616" w:type="dxa"/>
          </w:tcPr>
          <w:p w14:paraId="50463624" w14:textId="77777777" w:rsidR="00F343D3" w:rsidRPr="00032AD9" w:rsidRDefault="00F343D3" w:rsidP="00A655ED">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27</w:t>
            </w:r>
          </w:p>
        </w:tc>
      </w:tr>
      <w:tr w:rsidR="00F343D3" w:rsidRPr="00032AD9" w14:paraId="341CF148" w14:textId="77777777" w:rsidTr="2C6C7817">
        <w:tc>
          <w:tcPr>
            <w:tcW w:w="2062" w:type="dxa"/>
          </w:tcPr>
          <w:p w14:paraId="4D451211"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lastRenderedPageBreak/>
              <w:t xml:space="preserve">Заштита земљишта </w:t>
            </w:r>
          </w:p>
        </w:tc>
        <w:tc>
          <w:tcPr>
            <w:tcW w:w="1469" w:type="dxa"/>
          </w:tcPr>
          <w:p w14:paraId="6DD303DE" w14:textId="77777777" w:rsidR="00F343D3" w:rsidRPr="00032AD9" w:rsidRDefault="00F343D3" w:rsidP="00525540">
            <w:pPr>
              <w:jc w:val="both"/>
              <w:rPr>
                <w:rFonts w:ascii="Times New Roman" w:hAnsi="Times New Roman" w:cs="Times New Roman"/>
                <w:lang w:val="en-GB"/>
              </w:rPr>
            </w:pPr>
          </w:p>
        </w:tc>
        <w:tc>
          <w:tcPr>
            <w:tcW w:w="5615" w:type="dxa"/>
          </w:tcPr>
          <w:p w14:paraId="534858DA"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Свестан процес неопходан да би се сачувало земљиште и његова својства, а врши се на разним нивоима (личном, локалном, националном, континенталном) и коришћењем информација добијених из истраживања земљишта ради одрживог управљања земљиштем.</w:t>
            </w:r>
          </w:p>
        </w:tc>
        <w:tc>
          <w:tcPr>
            <w:tcW w:w="616" w:type="dxa"/>
          </w:tcPr>
          <w:p w14:paraId="1985911E"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3</w:t>
            </w:r>
          </w:p>
        </w:tc>
      </w:tr>
      <w:tr w:rsidR="00F343D3" w:rsidRPr="00032AD9" w14:paraId="1AD9B786" w14:textId="77777777" w:rsidTr="2C6C7817">
        <w:tc>
          <w:tcPr>
            <w:tcW w:w="2062" w:type="dxa"/>
          </w:tcPr>
          <w:p w14:paraId="556138A3"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Здравље земље</w:t>
            </w:r>
          </w:p>
        </w:tc>
        <w:tc>
          <w:tcPr>
            <w:tcW w:w="1469" w:type="dxa"/>
          </w:tcPr>
          <w:p w14:paraId="0DC6AB1F" w14:textId="77777777" w:rsidR="00F343D3" w:rsidRPr="00032AD9" w:rsidRDefault="00F343D3" w:rsidP="00525540">
            <w:pPr>
              <w:jc w:val="both"/>
              <w:rPr>
                <w:rFonts w:ascii="Times New Roman" w:hAnsi="Times New Roman" w:cs="Times New Roman"/>
                <w:lang w:val="en-GB"/>
              </w:rPr>
            </w:pPr>
          </w:p>
        </w:tc>
        <w:tc>
          <w:tcPr>
            <w:tcW w:w="5615" w:type="dxa"/>
          </w:tcPr>
          <w:p w14:paraId="199F78F0"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Капацитет земље, према њеном потенцијалу, да одржи пружање услуга екосистема.</w:t>
            </w:r>
          </w:p>
        </w:tc>
        <w:tc>
          <w:tcPr>
            <w:tcW w:w="616" w:type="dxa"/>
          </w:tcPr>
          <w:p w14:paraId="15EF5D44"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1</w:t>
            </w:r>
          </w:p>
        </w:tc>
      </w:tr>
      <w:tr w:rsidR="00F343D3" w:rsidRPr="00032AD9" w14:paraId="7E7321AD" w14:textId="77777777" w:rsidTr="2C6C7817">
        <w:tc>
          <w:tcPr>
            <w:tcW w:w="2062" w:type="dxa"/>
          </w:tcPr>
          <w:p w14:paraId="2D623D8A" w14:textId="77777777" w:rsidR="00F343D3" w:rsidRPr="00032AD9" w:rsidRDefault="00F343D3" w:rsidP="00A655ED">
            <w:pPr>
              <w:rPr>
                <w:rFonts w:ascii="Times New Roman" w:hAnsi="Times New Roman" w:cs="Times New Roman"/>
                <w:lang w:val="en-GB"/>
              </w:rPr>
            </w:pPr>
            <w:r w:rsidRPr="00032AD9">
              <w:rPr>
                <w:rFonts w:ascii="Times New Roman" w:hAnsi="Times New Roman" w:cs="Times New Roman"/>
                <w:b/>
                <w:color w:val="3A7C22" w:themeColor="accent6" w:themeShade="BF"/>
                <w:lang w:val="sr-Cyrl"/>
              </w:rPr>
              <w:t>Здравље земљишта</w:t>
            </w:r>
          </w:p>
        </w:tc>
        <w:tc>
          <w:tcPr>
            <w:tcW w:w="1469" w:type="dxa"/>
          </w:tcPr>
          <w:p w14:paraId="2CDF90E7" w14:textId="77777777" w:rsidR="00F343D3" w:rsidRPr="00032AD9" w:rsidRDefault="00F343D3" w:rsidP="00525540">
            <w:pPr>
              <w:jc w:val="both"/>
              <w:rPr>
                <w:rFonts w:ascii="Times New Roman" w:hAnsi="Times New Roman" w:cs="Times New Roman"/>
                <w:lang w:val="en-GB"/>
              </w:rPr>
            </w:pPr>
          </w:p>
        </w:tc>
        <w:tc>
          <w:tcPr>
            <w:tcW w:w="5615" w:type="dxa"/>
          </w:tcPr>
          <w:p w14:paraId="17C6C97C" w14:textId="77777777" w:rsidR="00F343D3" w:rsidRPr="00F343D3" w:rsidRDefault="00F343D3" w:rsidP="00525540">
            <w:pPr>
              <w:jc w:val="both"/>
              <w:rPr>
                <w:rFonts w:ascii="Times New Roman" w:hAnsi="Times New Roman" w:cs="Times New Roman"/>
                <w:lang w:val="sr-Cyrl"/>
              </w:rPr>
            </w:pPr>
            <w:r w:rsidRPr="00032AD9">
              <w:rPr>
                <w:rFonts w:ascii="Times New Roman" w:hAnsi="Times New Roman" w:cs="Times New Roman"/>
                <w:lang w:val="sr-Cyrl"/>
              </w:rPr>
              <w:t>Земљиште је основа за 95% наше хране. Ако је земљиште здраво, оно пружа суштинске услуге екосистема као што су чиста вода и станишта за биодиверзитет. Оно је велики резервоар угљеника, који помаже да се успори налет климатских промена и чини нас отпорнијим на екстремне климатске догађаје. Земљиште је део пејзажа у коме сви уживамо и представља основ наше економије и просперитета. Здраво земљиште је наставак капацитета земљишта да функционише као витални живи систем.</w:t>
            </w:r>
          </w:p>
        </w:tc>
        <w:tc>
          <w:tcPr>
            <w:tcW w:w="616" w:type="dxa"/>
          </w:tcPr>
          <w:p w14:paraId="402C4C2D"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1,46</w:t>
            </w:r>
          </w:p>
        </w:tc>
      </w:tr>
      <w:tr w:rsidR="00F343D3" w:rsidRPr="00032AD9" w14:paraId="599847C1" w14:textId="77777777" w:rsidTr="2C6C7817">
        <w:tc>
          <w:tcPr>
            <w:tcW w:w="2062" w:type="dxa"/>
          </w:tcPr>
          <w:p w14:paraId="21DFE70E"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Зелено ђубриво</w:t>
            </w:r>
          </w:p>
        </w:tc>
        <w:tc>
          <w:tcPr>
            <w:tcW w:w="1469" w:type="dxa"/>
          </w:tcPr>
          <w:p w14:paraId="25AFCBA5" w14:textId="77777777" w:rsidR="00F343D3" w:rsidRPr="00032AD9" w:rsidRDefault="00F343D3" w:rsidP="00525540">
            <w:pPr>
              <w:jc w:val="both"/>
              <w:rPr>
                <w:rFonts w:ascii="Times New Roman" w:hAnsi="Times New Roman" w:cs="Times New Roman"/>
                <w:lang w:val="en-GB"/>
              </w:rPr>
            </w:pPr>
          </w:p>
        </w:tc>
        <w:tc>
          <w:tcPr>
            <w:tcW w:w="5615" w:type="dxa"/>
          </w:tcPr>
          <w:p w14:paraId="64243E53" w14:textId="77777777" w:rsidR="00F343D3" w:rsidRPr="00032AD9" w:rsidRDefault="00F343D3" w:rsidP="00525540">
            <w:pPr>
              <w:jc w:val="both"/>
              <w:rPr>
                <w:rFonts w:ascii="Times New Roman" w:hAnsi="Times New Roman" w:cs="Times New Roman"/>
                <w:lang w:val="sr-Cyrl"/>
              </w:rPr>
            </w:pPr>
            <w:r w:rsidRPr="00032AD9">
              <w:rPr>
                <w:rFonts w:ascii="Times New Roman" w:hAnsi="Times New Roman" w:cs="Times New Roman"/>
                <w:lang w:val="sr-Cyrl"/>
              </w:rPr>
              <w:t>Некомерцијална култура која се узгаја између две главне сезоне гајења ради побољшања плодности земљишта. Обично не расте са недостатком азота (N) захваљујући употреби ђубрива и стајњака или способности везивања атмосферског азота.</w:t>
            </w:r>
          </w:p>
        </w:tc>
        <w:tc>
          <w:tcPr>
            <w:tcW w:w="616" w:type="dxa"/>
          </w:tcPr>
          <w:p w14:paraId="5D77D7A2"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w:t>
            </w:r>
          </w:p>
        </w:tc>
      </w:tr>
      <w:tr w:rsidR="00F343D3" w:rsidRPr="00032AD9" w14:paraId="26C227AD" w14:textId="77777777" w:rsidTr="2C6C7817">
        <w:tc>
          <w:tcPr>
            <w:tcW w:w="2062" w:type="dxa"/>
          </w:tcPr>
          <w:p w14:paraId="42059227"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Земљиште</w:t>
            </w:r>
          </w:p>
        </w:tc>
        <w:tc>
          <w:tcPr>
            <w:tcW w:w="1469" w:type="dxa"/>
          </w:tcPr>
          <w:p w14:paraId="6AC4B03E" w14:textId="77777777" w:rsidR="00F343D3" w:rsidRPr="00032AD9" w:rsidRDefault="00F343D3" w:rsidP="00525540">
            <w:pPr>
              <w:jc w:val="both"/>
              <w:rPr>
                <w:rFonts w:ascii="Times New Roman" w:hAnsi="Times New Roman" w:cs="Times New Roman"/>
                <w:lang w:val="en-GB"/>
              </w:rPr>
            </w:pPr>
          </w:p>
        </w:tc>
        <w:tc>
          <w:tcPr>
            <w:tcW w:w="5615" w:type="dxa"/>
          </w:tcPr>
          <w:p w14:paraId="16AA1EB5" w14:textId="77777777" w:rsidR="00F343D3" w:rsidRPr="00F343D3" w:rsidRDefault="00F343D3" w:rsidP="00525540">
            <w:pPr>
              <w:jc w:val="both"/>
              <w:rPr>
                <w:rFonts w:ascii="Times New Roman" w:hAnsi="Times New Roman" w:cs="Times New Roman"/>
                <w:lang w:val="sr-Cyrl"/>
              </w:rPr>
            </w:pPr>
            <w:r w:rsidRPr="00032AD9">
              <w:rPr>
                <w:rFonts w:ascii="Times New Roman" w:hAnsi="Times New Roman" w:cs="Times New Roman"/>
                <w:lang w:val="sr-Cyrl"/>
              </w:rPr>
              <w:t>Биолошки активан, порозан медијум који се развио у најгорњем слоју Земљине коре и који је један од главних супстрата живота на Земљи. Земљиште је сложен, динамичан и жив систем који се формирао временом кроз интеракцију физичких, хемијских и биолошких процеса. Састоји се од минералних честица различите величине, органске материје, воде и ваздуха, при чему сви они улазе у интеракцију једни с другима како би формирали матрицу која подржава раст биљака и обезбеђује станиште организмима у земљишту.</w:t>
            </w:r>
          </w:p>
        </w:tc>
        <w:tc>
          <w:tcPr>
            <w:tcW w:w="616" w:type="dxa"/>
          </w:tcPr>
          <w:p w14:paraId="1768B3B0"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2</w:t>
            </w:r>
          </w:p>
        </w:tc>
      </w:tr>
      <w:tr w:rsidR="00F343D3" w:rsidRPr="00032AD9" w14:paraId="05F87FAC" w14:textId="77777777" w:rsidTr="2C6C7817">
        <w:tc>
          <w:tcPr>
            <w:tcW w:w="2062" w:type="dxa"/>
          </w:tcPr>
          <w:p w14:paraId="0178EF4B"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Имобилизација</w:t>
            </w:r>
          </w:p>
        </w:tc>
        <w:tc>
          <w:tcPr>
            <w:tcW w:w="1469" w:type="dxa"/>
          </w:tcPr>
          <w:p w14:paraId="1780C2C0" w14:textId="77777777" w:rsidR="00F343D3" w:rsidRPr="00032AD9" w:rsidRDefault="00F343D3" w:rsidP="00525540">
            <w:pPr>
              <w:jc w:val="both"/>
              <w:rPr>
                <w:rFonts w:ascii="Times New Roman" w:hAnsi="Times New Roman" w:cs="Times New Roman"/>
                <w:lang w:val="en-GB"/>
              </w:rPr>
            </w:pPr>
          </w:p>
        </w:tc>
        <w:tc>
          <w:tcPr>
            <w:tcW w:w="5615" w:type="dxa"/>
          </w:tcPr>
          <w:p w14:paraId="41BC0390"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Претварање елемената растворљивих у води у органска једињења од стране земљишне биоте.</w:t>
            </w:r>
          </w:p>
          <w:p w14:paraId="64E1790C" w14:textId="77777777" w:rsidR="00F343D3" w:rsidRPr="00032AD9" w:rsidRDefault="00F343D3" w:rsidP="00525540">
            <w:pPr>
              <w:jc w:val="both"/>
              <w:rPr>
                <w:rFonts w:ascii="Times New Roman" w:hAnsi="Times New Roman" w:cs="Times New Roman"/>
                <w:lang w:val="sr-Cyrl"/>
              </w:rPr>
            </w:pPr>
            <w:r w:rsidRPr="00032AD9">
              <w:rPr>
                <w:rFonts w:ascii="Times New Roman" w:hAnsi="Times New Roman" w:cs="Times New Roman"/>
                <w:lang w:val="sr-Cyrl"/>
              </w:rPr>
              <w:t>Процес којим микроорганизми земљишта привремено претварају хранљиве материје (азот, фосфор и друге основне елементе) из доступног неорганског облика растворљивог у води у недоступни органски облик. То се дешава када микроорганизми унесу ове хранљиве материје у своје ћелије и ткива током растварања органске материје, чиме привремено постају недоступне биљкама.</w:t>
            </w:r>
          </w:p>
          <w:p w14:paraId="38EDBFB0" w14:textId="77777777" w:rsidR="00F343D3" w:rsidRPr="00F343D3" w:rsidRDefault="00F343D3" w:rsidP="00525540">
            <w:pPr>
              <w:jc w:val="both"/>
              <w:rPr>
                <w:rFonts w:ascii="Times New Roman" w:hAnsi="Times New Roman" w:cs="Times New Roman"/>
                <w:lang w:val="sr-Cyrl"/>
              </w:rPr>
            </w:pPr>
            <w:r w:rsidRPr="00032AD9">
              <w:rPr>
                <w:rFonts w:ascii="Times New Roman" w:hAnsi="Times New Roman" w:cs="Times New Roman"/>
                <w:lang w:val="sr-Cyrl"/>
              </w:rPr>
              <w:t>У загађеним земљиштима, имобилизација може да значи и да неки потенцијално токсични елементи постају нерастворљиви, што је позитиван феномен јер смањује ризик ширења загађивача у животну средину и могућност да их биљке упију.</w:t>
            </w:r>
          </w:p>
        </w:tc>
        <w:tc>
          <w:tcPr>
            <w:tcW w:w="616" w:type="dxa"/>
          </w:tcPr>
          <w:p w14:paraId="13DFA638"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 45</w:t>
            </w:r>
          </w:p>
        </w:tc>
      </w:tr>
      <w:tr w:rsidR="00F343D3" w:rsidRPr="00032AD9" w14:paraId="67A49B23" w14:textId="77777777" w:rsidTr="2C6C7817">
        <w:tc>
          <w:tcPr>
            <w:tcW w:w="2062" w:type="dxa"/>
          </w:tcPr>
          <w:p w14:paraId="2946AE58"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Интензификација</w:t>
            </w:r>
          </w:p>
        </w:tc>
        <w:tc>
          <w:tcPr>
            <w:tcW w:w="1469" w:type="dxa"/>
          </w:tcPr>
          <w:p w14:paraId="179B3D0A" w14:textId="77777777" w:rsidR="00F343D3" w:rsidRPr="00032AD9" w:rsidRDefault="00F343D3" w:rsidP="00525540">
            <w:pPr>
              <w:jc w:val="both"/>
              <w:rPr>
                <w:rFonts w:ascii="Times New Roman" w:hAnsi="Times New Roman" w:cs="Times New Roman"/>
                <w:lang w:val="en-GB"/>
              </w:rPr>
            </w:pPr>
          </w:p>
        </w:tc>
        <w:tc>
          <w:tcPr>
            <w:tcW w:w="5615" w:type="dxa"/>
          </w:tcPr>
          <w:p w14:paraId="39815EA8"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 xml:space="preserve">Процес повећања употребе инпута (радне снаге, информација, енергије, ђубрива, пестицида, машина) у односу на површину земље, како би се повећала пољопривредна производња по јединици површине. Интензификација може повећати притисак на животну средину ако се састоји од неконтролисаног повећавања инпута које не прати повећање управљачког инпута. Повећана употреба ђубрива и пестицида, примера ради, може повећати ризик од изливања хранљивих материја и </w:t>
            </w:r>
            <w:r w:rsidRPr="00032AD9">
              <w:rPr>
                <w:rFonts w:ascii="Times New Roman" w:hAnsi="Times New Roman" w:cs="Times New Roman"/>
                <w:lang w:val="sr-Cyrl"/>
              </w:rPr>
              <w:lastRenderedPageBreak/>
              <w:t>пестицида у површинске и подземне воде („губитак по јединици површине“). Међутим, стварни ефекат употребе инпута на животну средину не зависи само од количине коришћених инпута већ и од тога како се они примењују и обима у ком доприносе повећању производње („губитак по произведеној јединици“). Стога, интензификација не мора нужно водити деградацији животне средине.</w:t>
            </w:r>
          </w:p>
        </w:tc>
        <w:tc>
          <w:tcPr>
            <w:tcW w:w="616" w:type="dxa"/>
          </w:tcPr>
          <w:p w14:paraId="33192B73"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lastRenderedPageBreak/>
              <w:t>4</w:t>
            </w:r>
          </w:p>
        </w:tc>
      </w:tr>
      <w:tr w:rsidR="00F343D3" w:rsidRPr="00032AD9" w14:paraId="7F0E5729" w14:textId="77777777" w:rsidTr="2C6C7817">
        <w:tc>
          <w:tcPr>
            <w:tcW w:w="2062" w:type="dxa"/>
          </w:tcPr>
          <w:p w14:paraId="30E08F0B"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Инфилтрација</w:t>
            </w:r>
          </w:p>
        </w:tc>
        <w:tc>
          <w:tcPr>
            <w:tcW w:w="1469" w:type="dxa"/>
          </w:tcPr>
          <w:p w14:paraId="31DC601B" w14:textId="77777777" w:rsidR="00F343D3" w:rsidRPr="00032AD9" w:rsidRDefault="00F343D3" w:rsidP="00525540">
            <w:pPr>
              <w:jc w:val="both"/>
              <w:rPr>
                <w:rFonts w:ascii="Times New Roman" w:hAnsi="Times New Roman" w:cs="Times New Roman"/>
                <w:lang w:val="en-GB"/>
              </w:rPr>
            </w:pPr>
          </w:p>
        </w:tc>
        <w:tc>
          <w:tcPr>
            <w:tcW w:w="5615" w:type="dxa"/>
          </w:tcPr>
          <w:p w14:paraId="6E5FADBE"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Кретање воде која пролази кроз површину земљишта у земљиште (насупрот перколацији, која је кретање воде кроз профил земљишта (хоризонте) наниже до акуфера.</w:t>
            </w:r>
          </w:p>
        </w:tc>
        <w:tc>
          <w:tcPr>
            <w:tcW w:w="616" w:type="dxa"/>
          </w:tcPr>
          <w:p w14:paraId="67994C3B"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w:t>
            </w:r>
          </w:p>
        </w:tc>
      </w:tr>
      <w:tr w:rsidR="00F343D3" w:rsidRPr="00032AD9" w14:paraId="254006DE" w14:textId="77777777" w:rsidTr="2C6C7817">
        <w:tc>
          <w:tcPr>
            <w:tcW w:w="2062" w:type="dxa"/>
          </w:tcPr>
          <w:p w14:paraId="6432B707"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Исцрпљеност ресурса</w:t>
            </w:r>
          </w:p>
        </w:tc>
        <w:tc>
          <w:tcPr>
            <w:tcW w:w="1469" w:type="dxa"/>
          </w:tcPr>
          <w:p w14:paraId="08A4808E" w14:textId="77777777" w:rsidR="00F343D3" w:rsidRPr="00032AD9" w:rsidRDefault="00F343D3" w:rsidP="002A67F8">
            <w:pPr>
              <w:jc w:val="both"/>
              <w:rPr>
                <w:rFonts w:ascii="Times New Roman" w:hAnsi="Times New Roman" w:cs="Times New Roman"/>
                <w:lang w:val="en-GB"/>
              </w:rPr>
            </w:pPr>
          </w:p>
        </w:tc>
        <w:tc>
          <w:tcPr>
            <w:tcW w:w="5615" w:type="dxa"/>
          </w:tcPr>
          <w:p w14:paraId="29E4887A" w14:textId="77777777" w:rsidR="00F343D3" w:rsidRPr="00032AD9" w:rsidRDefault="00F343D3" w:rsidP="002A67F8">
            <w:pPr>
              <w:jc w:val="both"/>
              <w:rPr>
                <w:rFonts w:ascii="Times New Roman" w:hAnsi="Times New Roman" w:cs="Times New Roman"/>
                <w:lang w:val="en-GB"/>
              </w:rPr>
            </w:pPr>
            <w:r w:rsidRPr="00032AD9">
              <w:rPr>
                <w:rFonts w:ascii="Times New Roman" w:hAnsi="Times New Roman" w:cs="Times New Roman"/>
                <w:lang w:val="sr-Cyrl"/>
              </w:rPr>
              <w:t>Постепено исцрпљивање резерви хранљивих и органских материја у земљишту.</w:t>
            </w:r>
          </w:p>
        </w:tc>
        <w:tc>
          <w:tcPr>
            <w:tcW w:w="616" w:type="dxa"/>
          </w:tcPr>
          <w:p w14:paraId="3F546F56"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w:t>
            </w:r>
          </w:p>
        </w:tc>
      </w:tr>
      <w:tr w:rsidR="00F343D3" w:rsidRPr="00032AD9" w14:paraId="5F9E1EF4" w14:textId="77777777" w:rsidTr="2C6C7817">
        <w:tc>
          <w:tcPr>
            <w:tcW w:w="2062" w:type="dxa"/>
          </w:tcPr>
          <w:p w14:paraId="24543736"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Капацитет поља</w:t>
            </w:r>
          </w:p>
        </w:tc>
        <w:tc>
          <w:tcPr>
            <w:tcW w:w="1469" w:type="dxa"/>
          </w:tcPr>
          <w:p w14:paraId="4DD6CDCF" w14:textId="77777777" w:rsidR="00F343D3" w:rsidRPr="00032AD9" w:rsidRDefault="00F343D3" w:rsidP="00525540">
            <w:pPr>
              <w:jc w:val="both"/>
              <w:rPr>
                <w:rFonts w:ascii="Times New Roman" w:hAnsi="Times New Roman" w:cs="Times New Roman"/>
                <w:lang w:val="en-GB"/>
              </w:rPr>
            </w:pPr>
          </w:p>
        </w:tc>
        <w:tc>
          <w:tcPr>
            <w:tcW w:w="5615" w:type="dxa"/>
          </w:tcPr>
          <w:p w14:paraId="44A26B12" w14:textId="77777777" w:rsidR="00F343D3" w:rsidRPr="00032AD9" w:rsidRDefault="00F343D3" w:rsidP="00525540">
            <w:pPr>
              <w:jc w:val="both"/>
              <w:rPr>
                <w:rFonts w:ascii="Times New Roman" w:hAnsi="Times New Roman" w:cs="Times New Roman"/>
                <w:lang w:val="sr-Cyrl"/>
              </w:rPr>
            </w:pPr>
            <w:r w:rsidRPr="00032AD9">
              <w:rPr>
                <w:rFonts w:ascii="Times New Roman" w:hAnsi="Times New Roman" w:cs="Times New Roman"/>
                <w:lang w:val="sr-Cyrl"/>
              </w:rPr>
              <w:t xml:space="preserve">Услов влаге где земљиште садржи максималну количину воде коју може да држи због гравитације и где би додатно квашење довело до одводњавања. Након засићења, земљиште се типично враћа на капацитет поља, када стопа кретања воде наниже значајно опадне, обично 1-3 дана после кише или иригације, након што се гравитациона или слободна вода одлије. Обично се изражава као масени или запремински удео воде у земљишту </w:t>
            </w:r>
          </w:p>
        </w:tc>
        <w:tc>
          <w:tcPr>
            <w:tcW w:w="616" w:type="dxa"/>
          </w:tcPr>
          <w:p w14:paraId="25F26875"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w:t>
            </w:r>
          </w:p>
        </w:tc>
      </w:tr>
      <w:tr w:rsidR="00F343D3" w:rsidRPr="00032AD9" w14:paraId="2CFA0EB2" w14:textId="77777777" w:rsidTr="2C6C7817">
        <w:tc>
          <w:tcPr>
            <w:tcW w:w="2062" w:type="dxa"/>
          </w:tcPr>
          <w:p w14:paraId="5016574C"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Капацитет размене катјона</w:t>
            </w:r>
          </w:p>
        </w:tc>
        <w:tc>
          <w:tcPr>
            <w:tcW w:w="1469" w:type="dxa"/>
          </w:tcPr>
          <w:p w14:paraId="041FE497" w14:textId="77777777" w:rsidR="00F343D3" w:rsidRPr="00032AD9" w:rsidRDefault="00F343D3" w:rsidP="002A67F8">
            <w:pPr>
              <w:jc w:val="both"/>
              <w:rPr>
                <w:rFonts w:ascii="Times New Roman" w:hAnsi="Times New Roman" w:cs="Times New Roman"/>
                <w:lang w:val="en-GB"/>
              </w:rPr>
            </w:pPr>
          </w:p>
        </w:tc>
        <w:tc>
          <w:tcPr>
            <w:tcW w:w="5615" w:type="dxa"/>
          </w:tcPr>
          <w:p w14:paraId="5691307F" w14:textId="77777777" w:rsidR="00F343D3" w:rsidRPr="00032AD9" w:rsidRDefault="00F343D3" w:rsidP="002A67F8">
            <w:pPr>
              <w:jc w:val="both"/>
              <w:rPr>
                <w:rFonts w:ascii="Times New Roman" w:hAnsi="Times New Roman" w:cs="Times New Roman"/>
                <w:lang w:val="sr-Cyrl"/>
              </w:rPr>
            </w:pPr>
            <w:r w:rsidRPr="00032AD9">
              <w:rPr>
                <w:rFonts w:ascii="Times New Roman" w:hAnsi="Times New Roman" w:cs="Times New Roman"/>
                <w:lang w:val="sr-Cyrl"/>
              </w:rPr>
              <w:t>Капацитет земљишта да држи хранљиве материје које биљке могу да користе. Посебно, капацитет размене катјона је износ негативног набоја на минералима глине и у хумусу земљишта који држе позитивно наелектрисане јоне. Ефективни капацитет размене катјона (ECEC) се реферише за кисела земљишта (pH &lt; 5). Изражава се у центимолима набоја по килограму земљишта (cmolc/kg).</w:t>
            </w:r>
          </w:p>
        </w:tc>
        <w:tc>
          <w:tcPr>
            <w:tcW w:w="616" w:type="dxa"/>
          </w:tcPr>
          <w:p w14:paraId="1AFE6875"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3</w:t>
            </w:r>
          </w:p>
        </w:tc>
      </w:tr>
      <w:tr w:rsidR="00F343D3" w:rsidRPr="00032AD9" w14:paraId="7C775825" w14:textId="77777777" w:rsidTr="2C6C7817">
        <w:tc>
          <w:tcPr>
            <w:tcW w:w="2062" w:type="dxa"/>
          </w:tcPr>
          <w:p w14:paraId="1012935D"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Кашасти раствор земљишта</w:t>
            </w:r>
          </w:p>
        </w:tc>
        <w:tc>
          <w:tcPr>
            <w:tcW w:w="1469" w:type="dxa"/>
          </w:tcPr>
          <w:p w14:paraId="33AC2250" w14:textId="77777777" w:rsidR="00F343D3" w:rsidRPr="00032AD9" w:rsidRDefault="00F343D3" w:rsidP="00525540">
            <w:pPr>
              <w:jc w:val="both"/>
              <w:rPr>
                <w:rFonts w:ascii="Times New Roman" w:hAnsi="Times New Roman" w:cs="Times New Roman"/>
                <w:lang w:val="en-GB"/>
              </w:rPr>
            </w:pPr>
          </w:p>
        </w:tc>
        <w:tc>
          <w:tcPr>
            <w:tcW w:w="5615" w:type="dxa"/>
          </w:tcPr>
          <w:p w14:paraId="6DAD347F" w14:textId="77777777" w:rsidR="00F343D3" w:rsidRPr="00F343D3" w:rsidRDefault="00F343D3" w:rsidP="00525540">
            <w:pPr>
              <w:jc w:val="both"/>
              <w:rPr>
                <w:rFonts w:ascii="Times New Roman" w:hAnsi="Times New Roman" w:cs="Times New Roman"/>
                <w:lang w:val="sr-Cyrl"/>
              </w:rPr>
            </w:pPr>
            <w:r w:rsidRPr="00032AD9">
              <w:rPr>
                <w:rFonts w:ascii="Times New Roman" w:hAnsi="Times New Roman" w:cs="Times New Roman"/>
                <w:lang w:val="sr-Cyrl"/>
              </w:rPr>
              <w:t>Кашасти раствор земљишта је мешавина животињског стајњака и воде, често са додатном органском материјом, који је у полутечном стању. Обично се производи у системима узгоја стоке, посебно у затвореним или ограђеним фармама као што су млекаре, фарме свиња и живине. Кашасти раствор земљишта се обично прикупља из делова у којима животиње живе, а чува се у канистерима, лагунама или базенима пре примене на пољопривредним пољима као ђубриво богато хранљивим састојцима.</w:t>
            </w:r>
          </w:p>
        </w:tc>
        <w:tc>
          <w:tcPr>
            <w:tcW w:w="616" w:type="dxa"/>
          </w:tcPr>
          <w:p w14:paraId="28C3D962"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4, 42</w:t>
            </w:r>
          </w:p>
        </w:tc>
      </w:tr>
      <w:tr w:rsidR="00F343D3" w:rsidRPr="00032AD9" w14:paraId="68120BE1" w14:textId="77777777" w:rsidTr="2C6C7817">
        <w:tc>
          <w:tcPr>
            <w:tcW w:w="2062" w:type="dxa"/>
          </w:tcPr>
          <w:p w14:paraId="097D7197"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Компост</w:t>
            </w:r>
          </w:p>
        </w:tc>
        <w:tc>
          <w:tcPr>
            <w:tcW w:w="1469" w:type="dxa"/>
          </w:tcPr>
          <w:p w14:paraId="2C7B61EF" w14:textId="77777777" w:rsidR="00F343D3" w:rsidRPr="00032AD9" w:rsidRDefault="00F343D3" w:rsidP="002A67F8">
            <w:pPr>
              <w:jc w:val="both"/>
              <w:rPr>
                <w:rFonts w:ascii="Times New Roman" w:hAnsi="Times New Roman" w:cs="Times New Roman"/>
                <w:lang w:val="en-GB"/>
              </w:rPr>
            </w:pPr>
          </w:p>
        </w:tc>
        <w:tc>
          <w:tcPr>
            <w:tcW w:w="5615" w:type="dxa"/>
          </w:tcPr>
          <w:p w14:paraId="1468CA85" w14:textId="77777777" w:rsidR="00F343D3" w:rsidRPr="00032AD9" w:rsidRDefault="00F343D3" w:rsidP="002A67F8">
            <w:pPr>
              <w:jc w:val="both"/>
              <w:rPr>
                <w:rFonts w:ascii="Times New Roman" w:hAnsi="Times New Roman" w:cs="Times New Roman"/>
                <w:lang w:val="en-GB"/>
              </w:rPr>
            </w:pPr>
            <w:r w:rsidRPr="00032AD9">
              <w:rPr>
                <w:rFonts w:ascii="Times New Roman" w:hAnsi="Times New Roman" w:cs="Times New Roman"/>
                <w:lang w:val="sr-Cyrl"/>
              </w:rPr>
              <w:t>Материјал који се користи да земљишту обезбеди органску или хранљиву материју за биљке, као резултат компостирања.</w:t>
            </w:r>
          </w:p>
        </w:tc>
        <w:tc>
          <w:tcPr>
            <w:tcW w:w="616" w:type="dxa"/>
          </w:tcPr>
          <w:p w14:paraId="132E08BE"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3</w:t>
            </w:r>
          </w:p>
        </w:tc>
      </w:tr>
      <w:tr w:rsidR="00F343D3" w:rsidRPr="00032AD9" w14:paraId="626CB6FB" w14:textId="77777777" w:rsidTr="2C6C7817">
        <w:tc>
          <w:tcPr>
            <w:tcW w:w="2062" w:type="dxa"/>
          </w:tcPr>
          <w:p w14:paraId="175EB30C"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Компостирање</w:t>
            </w:r>
          </w:p>
        </w:tc>
        <w:tc>
          <w:tcPr>
            <w:tcW w:w="1469" w:type="dxa"/>
          </w:tcPr>
          <w:p w14:paraId="270793F3" w14:textId="77777777" w:rsidR="00F343D3" w:rsidRPr="00032AD9" w:rsidRDefault="00F343D3" w:rsidP="002A67F8">
            <w:pPr>
              <w:jc w:val="both"/>
              <w:rPr>
                <w:rFonts w:ascii="Times New Roman" w:hAnsi="Times New Roman" w:cs="Times New Roman"/>
                <w:lang w:val="en-GB"/>
              </w:rPr>
            </w:pPr>
          </w:p>
        </w:tc>
        <w:tc>
          <w:tcPr>
            <w:tcW w:w="5615" w:type="dxa"/>
          </w:tcPr>
          <w:p w14:paraId="68C39AC8" w14:textId="77777777" w:rsidR="00F343D3" w:rsidRPr="00032AD9" w:rsidRDefault="00F343D3" w:rsidP="002A67F8">
            <w:pPr>
              <w:jc w:val="both"/>
              <w:rPr>
                <w:rFonts w:ascii="Times New Roman" w:hAnsi="Times New Roman" w:cs="Times New Roman"/>
                <w:lang w:val="sr-Cyrl"/>
              </w:rPr>
            </w:pPr>
            <w:r w:rsidRPr="00032AD9">
              <w:rPr>
                <w:rFonts w:ascii="Times New Roman" w:hAnsi="Times New Roman" w:cs="Times New Roman"/>
                <w:lang w:val="sr-Cyrl"/>
              </w:rPr>
              <w:t xml:space="preserve">Аеробно микробно распадање органских материјала, као што је пољопривредни отпад, градски органски отпад и остаци од кошења. Овај процес се обично постиже када се органска биомаса накупљена на гомилама редовно окреће и проветрава, и то тако да геометрија гомила повољно утиче на проветравање. Током ове трансформације, органске материје које су најбрже распадају пролазе кроз процес оксидације и претварају се у стабилну органску материју која се може користити у пољопривреди као ђубриво и као метод биолошке контроле. У зависности од сировина које се користе за компостирање, могу постојати ризици, примера ради, загађење микропластиком у случају сировина добијених из домаћинстава, што захтева опрез у случају коришћења </w:t>
            </w:r>
            <w:r w:rsidRPr="00032AD9">
              <w:rPr>
                <w:rFonts w:ascii="Times New Roman" w:hAnsi="Times New Roman" w:cs="Times New Roman"/>
                <w:lang w:val="sr-Cyrl"/>
              </w:rPr>
              <w:lastRenderedPageBreak/>
              <w:t>у пољопривреди. Истовремено, производ може постати мање гломазан због губитка воде, а такође и лакши за манипулацију због хомогенизације.</w:t>
            </w:r>
          </w:p>
          <w:p w14:paraId="3315CBC4" w14:textId="77777777" w:rsidR="00F343D3" w:rsidRPr="00032AD9" w:rsidRDefault="00F343D3" w:rsidP="002A67F8">
            <w:pPr>
              <w:jc w:val="both"/>
              <w:rPr>
                <w:rFonts w:ascii="Times New Roman" w:hAnsi="Times New Roman" w:cs="Times New Roman"/>
                <w:lang w:val="sr-Cyrl"/>
              </w:rPr>
            </w:pPr>
            <w:r w:rsidRPr="00032AD9">
              <w:rPr>
                <w:rFonts w:ascii="Times New Roman" w:hAnsi="Times New Roman" w:cs="Times New Roman"/>
                <w:lang w:val="sr-Cyrl"/>
              </w:rPr>
              <w:t>Поред ових предности, компостирање помаже и у смањењу иницијалне фитотоксичности органских материја које се користе, дезинфикује материје и смањује могућност клијања свих коровских семена.</w:t>
            </w:r>
          </w:p>
        </w:tc>
        <w:tc>
          <w:tcPr>
            <w:tcW w:w="616" w:type="dxa"/>
          </w:tcPr>
          <w:p w14:paraId="6636E143"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lastRenderedPageBreak/>
              <w:t>1, 3</w:t>
            </w:r>
          </w:p>
        </w:tc>
      </w:tr>
      <w:tr w:rsidR="00F343D3" w:rsidRPr="00032AD9" w14:paraId="49CD025D" w14:textId="77777777" w:rsidTr="2C6C7817">
        <w:tc>
          <w:tcPr>
            <w:tcW w:w="2062" w:type="dxa"/>
          </w:tcPr>
          <w:p w14:paraId="7FB4ADBF"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Конвенционално ратарство</w:t>
            </w:r>
          </w:p>
        </w:tc>
        <w:tc>
          <w:tcPr>
            <w:tcW w:w="1469" w:type="dxa"/>
          </w:tcPr>
          <w:p w14:paraId="517A6E2C" w14:textId="77777777" w:rsidR="00F343D3" w:rsidRPr="00032AD9" w:rsidRDefault="00F343D3" w:rsidP="002A67F8">
            <w:pPr>
              <w:jc w:val="both"/>
              <w:rPr>
                <w:rFonts w:ascii="Times New Roman" w:hAnsi="Times New Roman" w:cs="Times New Roman"/>
                <w:lang w:val="en-GB"/>
              </w:rPr>
            </w:pPr>
          </w:p>
        </w:tc>
        <w:tc>
          <w:tcPr>
            <w:tcW w:w="5615" w:type="dxa"/>
          </w:tcPr>
          <w:p w14:paraId="60E17C80" w14:textId="77777777" w:rsidR="00F343D3" w:rsidRPr="00032AD9" w:rsidRDefault="00F343D3" w:rsidP="002A67F8">
            <w:pPr>
              <w:jc w:val="both"/>
              <w:rPr>
                <w:rFonts w:ascii="Times New Roman" w:hAnsi="Times New Roman" w:cs="Times New Roman"/>
                <w:lang w:val="sr-Cyrl"/>
              </w:rPr>
            </w:pPr>
            <w:r w:rsidRPr="00032AD9">
              <w:rPr>
                <w:rFonts w:ascii="Times New Roman" w:hAnsi="Times New Roman" w:cs="Times New Roman"/>
                <w:lang w:val="sr-Cyrl"/>
              </w:rPr>
              <w:t>Метод ратарства који подразумева коришћење синтетичких хемијских ђубрива, пестицида и хербицида (а понекад и генетски модификованих организама), како би се максимизирао принос, што овој врсти газдинстава омогућава да мање зависе од културолошке (ротација усева, укључивање усева којима се регулише атмосферски азот), биолошке и механичке праксе која инсистира на цикличности ресурса, промовише еколошки баланс и чува биодиверзитет. Оно обично подразумева монокултуру великог обима (гајење једног усева на великој површини) и механизовану праксу како би се посао стандардизовао и како би се смањили трошкови рада.</w:t>
            </w:r>
          </w:p>
        </w:tc>
        <w:tc>
          <w:tcPr>
            <w:tcW w:w="616" w:type="dxa"/>
          </w:tcPr>
          <w:p w14:paraId="457237A1"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4, 44</w:t>
            </w:r>
          </w:p>
        </w:tc>
      </w:tr>
      <w:tr w:rsidR="00F343D3" w:rsidRPr="00032AD9" w14:paraId="7CDE3D7D" w14:textId="77777777" w:rsidTr="2C6C7817">
        <w:tc>
          <w:tcPr>
            <w:tcW w:w="2062" w:type="dxa"/>
          </w:tcPr>
          <w:p w14:paraId="58E092AF"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Конзервацијска пољопривреда</w:t>
            </w:r>
          </w:p>
        </w:tc>
        <w:tc>
          <w:tcPr>
            <w:tcW w:w="1469" w:type="dxa"/>
          </w:tcPr>
          <w:p w14:paraId="3A6828CE" w14:textId="77777777" w:rsidR="00F343D3" w:rsidRPr="00032AD9" w:rsidRDefault="00F343D3" w:rsidP="002A67F8">
            <w:pPr>
              <w:jc w:val="both"/>
              <w:rPr>
                <w:rFonts w:ascii="Times New Roman" w:hAnsi="Times New Roman" w:cs="Times New Roman"/>
                <w:lang w:val="en-GB"/>
              </w:rPr>
            </w:pPr>
          </w:p>
        </w:tc>
        <w:tc>
          <w:tcPr>
            <w:tcW w:w="5615" w:type="dxa"/>
          </w:tcPr>
          <w:p w14:paraId="48F22986" w14:textId="77777777" w:rsidR="00F343D3" w:rsidRPr="00032AD9" w:rsidRDefault="00F343D3" w:rsidP="002A67F8">
            <w:pPr>
              <w:jc w:val="both"/>
              <w:rPr>
                <w:rFonts w:ascii="Times New Roman" w:hAnsi="Times New Roman" w:cs="Times New Roman"/>
                <w:lang w:val="en-GB"/>
              </w:rPr>
            </w:pPr>
            <w:r w:rsidRPr="00032AD9">
              <w:rPr>
                <w:rFonts w:ascii="Times New Roman" w:hAnsi="Times New Roman" w:cs="Times New Roman"/>
                <w:lang w:val="sr-Cyrl"/>
              </w:rPr>
              <w:t>Метод ратарства који подразумева минималан поремећај земљишта (нема орања, оре се минимално, оре се у мањем степену, у тракама, директно се убадају засади), ротацију засада и сталну покривеност земљишта (</w:t>
            </w:r>
            <w:r>
              <w:fldChar w:fldCharType="begin"/>
            </w:r>
            <w:r w:rsidRPr="00F343D3">
              <w:rPr>
                <w:lang w:val="en-GB"/>
              </w:rPr>
              <w:instrText>HYPERLINK "http://www.fao.org/ag/ca/"</w:instrText>
            </w:r>
            <w:r>
              <w:fldChar w:fldCharType="separate"/>
            </w:r>
            <w:r w:rsidRPr="00032AD9">
              <w:rPr>
                <w:rStyle w:val="Hyperlink"/>
                <w:rFonts w:ascii="Times New Roman" w:hAnsi="Times New Roman" w:cs="Times New Roman"/>
                <w:lang w:val="sr-Cyrl"/>
              </w:rPr>
              <w:t>http://www.fao.org/ag/ca</w:t>
            </w:r>
            <w:r>
              <w:fldChar w:fldCharType="end"/>
            </w:r>
            <w:r w:rsidRPr="00032AD9">
              <w:rPr>
                <w:rFonts w:ascii="Times New Roman" w:hAnsi="Times New Roman" w:cs="Times New Roman"/>
                <w:lang w:val="sr-Cyrl"/>
              </w:rPr>
              <w:t>).</w:t>
            </w:r>
          </w:p>
        </w:tc>
        <w:tc>
          <w:tcPr>
            <w:tcW w:w="616" w:type="dxa"/>
          </w:tcPr>
          <w:p w14:paraId="0D2FC67C"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w:t>
            </w:r>
          </w:p>
        </w:tc>
      </w:tr>
      <w:tr w:rsidR="00F343D3" w:rsidRPr="00032AD9" w14:paraId="7AEBDF73" w14:textId="77777777" w:rsidTr="2C6C7817">
        <w:tc>
          <w:tcPr>
            <w:tcW w:w="2062" w:type="dxa"/>
          </w:tcPr>
          <w:p w14:paraId="74E9D852"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Контрола саобраћаја</w:t>
            </w:r>
          </w:p>
        </w:tc>
        <w:tc>
          <w:tcPr>
            <w:tcW w:w="1469" w:type="dxa"/>
          </w:tcPr>
          <w:p w14:paraId="4A1CC1FE" w14:textId="77777777" w:rsidR="00F343D3" w:rsidRPr="00032AD9" w:rsidRDefault="00F343D3" w:rsidP="002A67F8">
            <w:pPr>
              <w:jc w:val="both"/>
              <w:rPr>
                <w:rFonts w:ascii="Times New Roman" w:hAnsi="Times New Roman" w:cs="Times New Roman"/>
                <w:lang w:val="en-GB"/>
              </w:rPr>
            </w:pPr>
          </w:p>
        </w:tc>
        <w:tc>
          <w:tcPr>
            <w:tcW w:w="5615" w:type="dxa"/>
          </w:tcPr>
          <w:p w14:paraId="4C4AFF05" w14:textId="77777777" w:rsidR="00F343D3" w:rsidRPr="00032AD9" w:rsidRDefault="00F343D3" w:rsidP="002A67F8">
            <w:pPr>
              <w:jc w:val="both"/>
              <w:rPr>
                <w:rFonts w:ascii="Times New Roman" w:hAnsi="Times New Roman" w:cs="Times New Roman"/>
                <w:lang w:val="en-GB"/>
              </w:rPr>
            </w:pPr>
            <w:r w:rsidRPr="00032AD9">
              <w:rPr>
                <w:rFonts w:ascii="Times New Roman" w:hAnsi="Times New Roman" w:cs="Times New Roman"/>
                <w:lang w:val="sr-Cyrl"/>
              </w:rPr>
              <w:t>Коришћење истих саобраћајних трака за машине различитих намена током године и исте саобраћајне траке сваке године, које обично имају подршку сателитских навигационих система, како би се смањило сабијање земљишта.</w:t>
            </w:r>
          </w:p>
        </w:tc>
        <w:tc>
          <w:tcPr>
            <w:tcW w:w="616" w:type="dxa"/>
          </w:tcPr>
          <w:p w14:paraId="7426432C"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w:t>
            </w:r>
          </w:p>
        </w:tc>
      </w:tr>
      <w:tr w:rsidR="00F343D3" w:rsidRPr="00032AD9" w14:paraId="5619E9A9" w14:textId="77777777" w:rsidTr="2C6C7817">
        <w:tc>
          <w:tcPr>
            <w:tcW w:w="2062" w:type="dxa"/>
          </w:tcPr>
          <w:p w14:paraId="45E83158"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Кружење угљеника</w:t>
            </w:r>
          </w:p>
        </w:tc>
        <w:tc>
          <w:tcPr>
            <w:tcW w:w="1469" w:type="dxa"/>
          </w:tcPr>
          <w:p w14:paraId="77B9CC77" w14:textId="77777777" w:rsidR="00F343D3" w:rsidRPr="00032AD9" w:rsidRDefault="00F343D3" w:rsidP="002A67F8">
            <w:pPr>
              <w:jc w:val="both"/>
              <w:rPr>
                <w:rFonts w:ascii="Times New Roman" w:hAnsi="Times New Roman" w:cs="Times New Roman"/>
                <w:lang w:val="en-GB"/>
              </w:rPr>
            </w:pPr>
          </w:p>
        </w:tc>
        <w:tc>
          <w:tcPr>
            <w:tcW w:w="5615" w:type="dxa"/>
          </w:tcPr>
          <w:p w14:paraId="2DE5E6B8" w14:textId="77777777" w:rsidR="00F343D3" w:rsidRPr="00032AD9" w:rsidRDefault="00F343D3" w:rsidP="002A67F8">
            <w:pPr>
              <w:jc w:val="both"/>
              <w:rPr>
                <w:rFonts w:ascii="Times New Roman" w:hAnsi="Times New Roman" w:cs="Times New Roman"/>
                <w:lang w:val="en-GB"/>
              </w:rPr>
            </w:pPr>
            <w:r w:rsidRPr="00032AD9">
              <w:rPr>
                <w:rFonts w:ascii="Times New Roman" w:hAnsi="Times New Roman" w:cs="Times New Roman"/>
                <w:lang w:val="sr-Cyrl"/>
              </w:rPr>
              <w:t>Редослед трансформација током којих се угљен-диоксид претвара у органске облике путем фотосинтезе или хемосинтезе, рециклира кроз биосферу (и делимично задржава у седиментима) и на крају враћа у своје изворно стање путем дисања или сагоревања.</w:t>
            </w:r>
          </w:p>
        </w:tc>
        <w:tc>
          <w:tcPr>
            <w:tcW w:w="616" w:type="dxa"/>
          </w:tcPr>
          <w:p w14:paraId="67D0F37D"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3</w:t>
            </w:r>
          </w:p>
        </w:tc>
      </w:tr>
      <w:tr w:rsidR="00F343D3" w:rsidRPr="00032AD9" w14:paraId="240CA482" w14:textId="77777777" w:rsidTr="2C6C7817">
        <w:tc>
          <w:tcPr>
            <w:tcW w:w="2062" w:type="dxa"/>
          </w:tcPr>
          <w:p w14:paraId="3B25DDC6"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Микоризе</w:t>
            </w:r>
          </w:p>
        </w:tc>
        <w:tc>
          <w:tcPr>
            <w:tcW w:w="1469" w:type="dxa"/>
          </w:tcPr>
          <w:p w14:paraId="36B9C58E" w14:textId="77777777" w:rsidR="00F343D3" w:rsidRPr="00032AD9" w:rsidRDefault="00F343D3" w:rsidP="00525540">
            <w:pPr>
              <w:jc w:val="both"/>
              <w:rPr>
                <w:rFonts w:ascii="Times New Roman" w:hAnsi="Times New Roman" w:cs="Times New Roman"/>
                <w:lang w:val="en-GB"/>
              </w:rPr>
            </w:pPr>
          </w:p>
        </w:tc>
        <w:tc>
          <w:tcPr>
            <w:tcW w:w="5615" w:type="dxa"/>
          </w:tcPr>
          <w:p w14:paraId="0FDC9D26" w14:textId="77777777" w:rsidR="00F343D3" w:rsidRPr="00F343D3" w:rsidRDefault="00F343D3" w:rsidP="00525540">
            <w:pPr>
              <w:jc w:val="both"/>
              <w:rPr>
                <w:rFonts w:ascii="Times New Roman" w:hAnsi="Times New Roman" w:cs="Times New Roman"/>
                <w:lang w:val="sr-Cyrl"/>
              </w:rPr>
            </w:pPr>
            <w:r w:rsidRPr="00032AD9">
              <w:rPr>
                <w:rFonts w:ascii="Times New Roman" w:hAnsi="Times New Roman" w:cs="Times New Roman"/>
                <w:lang w:val="sr-Cyrl"/>
              </w:rPr>
              <w:t>Буквално значи „корење гљива“ и представља симбиотски (обострано користан) однос између гљиве и корена биљке. Гљива обезбеђује корењу биљке воду и хранљиве материје, док биљка обезбеђује угљене хидрате. Корење биљке обично може да истражи не више од 1% запремине земљишта, али заједно са микоризом (која се прикачи за зид ћелија корена биљке), може се истраживати око 20% запремине земљишта. Преко 80% биљака живи у симбиози са микоризом, али популација ових гљива се смањује конвенционалном обрадом и применом високих концентрација азота и фосфора у ђубриву.</w:t>
            </w:r>
          </w:p>
        </w:tc>
        <w:tc>
          <w:tcPr>
            <w:tcW w:w="616" w:type="dxa"/>
          </w:tcPr>
          <w:p w14:paraId="1D857600"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7</w:t>
            </w:r>
          </w:p>
        </w:tc>
      </w:tr>
      <w:tr w:rsidR="00F343D3" w:rsidRPr="00032AD9" w14:paraId="28369D30" w14:textId="77777777" w:rsidTr="2C6C7817">
        <w:tc>
          <w:tcPr>
            <w:tcW w:w="2062" w:type="dxa"/>
          </w:tcPr>
          <w:p w14:paraId="140FE625"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Минерализација</w:t>
            </w:r>
          </w:p>
        </w:tc>
        <w:tc>
          <w:tcPr>
            <w:tcW w:w="1469" w:type="dxa"/>
          </w:tcPr>
          <w:p w14:paraId="40FCE7E4" w14:textId="77777777" w:rsidR="00F343D3" w:rsidRPr="00032AD9" w:rsidRDefault="00F343D3" w:rsidP="00525540">
            <w:pPr>
              <w:jc w:val="both"/>
              <w:rPr>
                <w:rFonts w:ascii="Times New Roman" w:hAnsi="Times New Roman" w:cs="Times New Roman"/>
                <w:lang w:val="en-GB"/>
              </w:rPr>
            </w:pPr>
          </w:p>
        </w:tc>
        <w:tc>
          <w:tcPr>
            <w:tcW w:w="5615" w:type="dxa"/>
          </w:tcPr>
          <w:p w14:paraId="4158F67C"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Разградња органски повезаних елемената (N, P, S) од стране биоте земљишта у облик доступан биљкама (неоргански).</w:t>
            </w:r>
          </w:p>
        </w:tc>
        <w:tc>
          <w:tcPr>
            <w:tcW w:w="616" w:type="dxa"/>
          </w:tcPr>
          <w:p w14:paraId="0CF4D907"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w:t>
            </w:r>
          </w:p>
        </w:tc>
      </w:tr>
      <w:tr w:rsidR="00F343D3" w:rsidRPr="00032AD9" w14:paraId="0F46F34F" w14:textId="77777777" w:rsidTr="2C6C7817">
        <w:tc>
          <w:tcPr>
            <w:tcW w:w="2062" w:type="dxa"/>
          </w:tcPr>
          <w:p w14:paraId="52390464"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Мулчирање</w:t>
            </w:r>
          </w:p>
        </w:tc>
        <w:tc>
          <w:tcPr>
            <w:tcW w:w="1469" w:type="dxa"/>
          </w:tcPr>
          <w:p w14:paraId="706A54E1" w14:textId="77777777" w:rsidR="00F343D3" w:rsidRPr="00032AD9" w:rsidRDefault="00F343D3" w:rsidP="00525540">
            <w:pPr>
              <w:jc w:val="both"/>
              <w:rPr>
                <w:rFonts w:ascii="Times New Roman" w:hAnsi="Times New Roman" w:cs="Times New Roman"/>
                <w:lang w:val="en-GB"/>
              </w:rPr>
            </w:pPr>
          </w:p>
        </w:tc>
        <w:tc>
          <w:tcPr>
            <w:tcW w:w="5615" w:type="dxa"/>
          </w:tcPr>
          <w:p w14:paraId="3A4732CD"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Пољопривредна пракса која обухвата покривање површине земљишта, обично органским материјалом или најлонским покривачем, како би се сачувало земљиште и вода у њему, контролисао коров, спречиле штеточине и одржали повољни и стабилни услови за раст биљака.</w:t>
            </w:r>
          </w:p>
        </w:tc>
        <w:tc>
          <w:tcPr>
            <w:tcW w:w="616" w:type="dxa"/>
          </w:tcPr>
          <w:p w14:paraId="5874AE13"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1</w:t>
            </w:r>
          </w:p>
        </w:tc>
      </w:tr>
      <w:tr w:rsidR="00F343D3" w:rsidRPr="00032AD9" w14:paraId="63FDF894" w14:textId="77777777" w:rsidTr="2C6C7817">
        <w:tc>
          <w:tcPr>
            <w:tcW w:w="2062" w:type="dxa"/>
          </w:tcPr>
          <w:p w14:paraId="2FF0E076" w14:textId="77777777" w:rsidR="00F343D3" w:rsidRPr="00032AD9" w:rsidRDefault="00F343D3" w:rsidP="00A655ED">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lastRenderedPageBreak/>
              <w:t>Нове методе комуникације</w:t>
            </w:r>
          </w:p>
          <w:p w14:paraId="46DFE2A3" w14:textId="77777777" w:rsidR="00F343D3" w:rsidRPr="00032AD9" w:rsidRDefault="00F343D3" w:rsidP="00A655ED">
            <w:pPr>
              <w:rPr>
                <w:rFonts w:ascii="Times New Roman" w:hAnsi="Times New Roman" w:cs="Times New Roman"/>
                <w:b/>
                <w:color w:val="D86DCB" w:themeColor="accent5" w:themeTint="99"/>
                <w:lang w:val="en-GB"/>
              </w:rPr>
            </w:pPr>
          </w:p>
        </w:tc>
        <w:tc>
          <w:tcPr>
            <w:tcW w:w="1469" w:type="dxa"/>
          </w:tcPr>
          <w:p w14:paraId="160663E7" w14:textId="77777777" w:rsidR="00F343D3" w:rsidRPr="00032AD9" w:rsidRDefault="00F343D3" w:rsidP="00A655ED">
            <w:pPr>
              <w:jc w:val="both"/>
              <w:rPr>
                <w:rFonts w:ascii="Times New Roman" w:hAnsi="Times New Roman" w:cs="Times New Roman"/>
                <w:lang w:val="en-GB"/>
              </w:rPr>
            </w:pPr>
          </w:p>
        </w:tc>
        <w:tc>
          <w:tcPr>
            <w:tcW w:w="5615" w:type="dxa"/>
          </w:tcPr>
          <w:p w14:paraId="0E3362D9"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lang w:val="sr-Cyrl"/>
              </w:rPr>
              <w:t>Иновативне стратегије и технологије које олакшавају размену информација између појединаца, организација и јавности. Ови методи обухватају читав низ дигиталних алата и платформи које унапређују интеракцију, ангажман и приступачност у разним контекстима, посебно у образовању и јавној комуникацији.</w:t>
            </w:r>
          </w:p>
        </w:tc>
        <w:tc>
          <w:tcPr>
            <w:tcW w:w="616" w:type="dxa"/>
          </w:tcPr>
          <w:p w14:paraId="6463CEB6" w14:textId="77777777" w:rsidR="00F343D3" w:rsidRPr="00032AD9" w:rsidRDefault="00F343D3" w:rsidP="00A655ED">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24,25, 26, 27</w:t>
            </w:r>
          </w:p>
        </w:tc>
      </w:tr>
      <w:tr w:rsidR="00F343D3" w:rsidRPr="00032AD9" w14:paraId="3799BA8C" w14:textId="77777777" w:rsidTr="2C6C7817">
        <w:tc>
          <w:tcPr>
            <w:tcW w:w="2062" w:type="dxa"/>
          </w:tcPr>
          <w:p w14:paraId="21362527"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Обрадиво земљиште</w:t>
            </w:r>
          </w:p>
        </w:tc>
        <w:tc>
          <w:tcPr>
            <w:tcW w:w="1469" w:type="dxa"/>
          </w:tcPr>
          <w:p w14:paraId="353C0569" w14:textId="77777777" w:rsidR="00F343D3" w:rsidRPr="00032AD9" w:rsidRDefault="00F343D3" w:rsidP="002A67F8">
            <w:pPr>
              <w:jc w:val="both"/>
              <w:rPr>
                <w:rFonts w:ascii="Times New Roman" w:hAnsi="Times New Roman" w:cs="Times New Roman"/>
                <w:lang w:val="en-GB"/>
              </w:rPr>
            </w:pPr>
          </w:p>
        </w:tc>
        <w:tc>
          <w:tcPr>
            <w:tcW w:w="5615" w:type="dxa"/>
          </w:tcPr>
          <w:p w14:paraId="5AA8687B" w14:textId="77777777" w:rsidR="00F343D3" w:rsidRPr="00032AD9" w:rsidRDefault="00F343D3" w:rsidP="002A67F8">
            <w:pPr>
              <w:jc w:val="both"/>
              <w:rPr>
                <w:rFonts w:ascii="Times New Roman" w:hAnsi="Times New Roman" w:cs="Times New Roman"/>
                <w:lang w:val="sr-Cyrl"/>
              </w:rPr>
            </w:pPr>
            <w:r w:rsidRPr="00032AD9">
              <w:rPr>
                <w:rFonts w:ascii="Times New Roman" w:hAnsi="Times New Roman" w:cs="Times New Roman"/>
                <w:lang w:val="sr-Cyrl"/>
              </w:rPr>
              <w:t>То је земљиште које се редовно обрађује (које се оре дубоко или плитко), обично у оквиру система ротације усева. Укупна површина под усевима, ливадама и пашњацима, као и доступна за производњу усева, али тренутно остављена као угар (необрађена земља).</w:t>
            </w:r>
          </w:p>
        </w:tc>
        <w:tc>
          <w:tcPr>
            <w:tcW w:w="616" w:type="dxa"/>
          </w:tcPr>
          <w:p w14:paraId="09BD20A3"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1</w:t>
            </w:r>
          </w:p>
        </w:tc>
      </w:tr>
      <w:tr w:rsidR="00F343D3" w:rsidRPr="00032AD9" w14:paraId="41B61CDE" w14:textId="77777777" w:rsidTr="2C6C7817">
        <w:tc>
          <w:tcPr>
            <w:tcW w:w="2062" w:type="dxa"/>
          </w:tcPr>
          <w:p w14:paraId="1F966294"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Одводњавање (природно)</w:t>
            </w:r>
          </w:p>
        </w:tc>
        <w:tc>
          <w:tcPr>
            <w:tcW w:w="1469" w:type="dxa"/>
          </w:tcPr>
          <w:p w14:paraId="675099CF" w14:textId="77777777" w:rsidR="00F343D3" w:rsidRPr="00032AD9" w:rsidRDefault="00F343D3" w:rsidP="002A67F8">
            <w:pPr>
              <w:jc w:val="both"/>
              <w:rPr>
                <w:rFonts w:ascii="Times New Roman" w:hAnsi="Times New Roman" w:cs="Times New Roman"/>
                <w:lang w:val="en-GB"/>
              </w:rPr>
            </w:pPr>
          </w:p>
        </w:tc>
        <w:tc>
          <w:tcPr>
            <w:tcW w:w="5615" w:type="dxa"/>
          </w:tcPr>
          <w:p w14:paraId="1A29966F" w14:textId="77777777" w:rsidR="00F343D3" w:rsidRPr="00032AD9" w:rsidRDefault="00F343D3" w:rsidP="002A67F8">
            <w:pPr>
              <w:jc w:val="both"/>
              <w:rPr>
                <w:rFonts w:ascii="Times New Roman" w:hAnsi="Times New Roman" w:cs="Times New Roman"/>
                <w:lang w:val="en-GB"/>
              </w:rPr>
            </w:pPr>
          </w:p>
          <w:p w14:paraId="487CD9F2" w14:textId="77777777" w:rsidR="00F343D3" w:rsidRPr="00032AD9" w:rsidRDefault="00F343D3" w:rsidP="002A67F8">
            <w:pPr>
              <w:jc w:val="both"/>
              <w:rPr>
                <w:rFonts w:ascii="Times New Roman" w:hAnsi="Times New Roman" w:cs="Times New Roman"/>
                <w:lang w:val="en-GB"/>
              </w:rPr>
            </w:pPr>
            <w:r w:rsidRPr="00032AD9">
              <w:rPr>
                <w:rFonts w:ascii="Times New Roman" w:hAnsi="Times New Roman" w:cs="Times New Roman"/>
                <w:lang w:val="sr-Cyrl"/>
              </w:rPr>
              <w:t>Природна способност профила земљишта да одводи вишак воде путем перколације, за разлику од вештачке дренаже која је обично резултат одводњавања путем система одвода и ровова.</w:t>
            </w:r>
          </w:p>
        </w:tc>
        <w:tc>
          <w:tcPr>
            <w:tcW w:w="616" w:type="dxa"/>
          </w:tcPr>
          <w:p w14:paraId="78C1E689"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w:t>
            </w:r>
          </w:p>
        </w:tc>
      </w:tr>
      <w:tr w:rsidR="00F343D3" w:rsidRPr="00032AD9" w14:paraId="211ECB1E" w14:textId="77777777" w:rsidTr="2C6C7817">
        <w:tc>
          <w:tcPr>
            <w:tcW w:w="2062" w:type="dxa"/>
          </w:tcPr>
          <w:p w14:paraId="027E374F" w14:textId="77777777" w:rsidR="00F343D3" w:rsidRPr="00032AD9" w:rsidRDefault="00F343D3" w:rsidP="2C6C7817">
            <w:pPr>
              <w:rPr>
                <w:rFonts w:ascii="Times New Roman" w:hAnsi="Times New Roman" w:cs="Times New Roman"/>
                <w:b/>
                <w:bCs/>
                <w:color w:val="3A7C22" w:themeColor="accent6" w:themeShade="BF"/>
                <w:lang w:val="en-GB"/>
              </w:rPr>
            </w:pPr>
            <w:r w:rsidRPr="00032AD9">
              <w:rPr>
                <w:rFonts w:ascii="Times New Roman" w:hAnsi="Times New Roman" w:cs="Times New Roman"/>
                <w:b/>
                <w:bCs/>
                <w:color w:val="3A7C22" w:themeColor="accent6" w:themeShade="BF"/>
                <w:lang w:val="sr-Cyrl"/>
              </w:rPr>
              <w:t>Одсуство орања</w:t>
            </w:r>
          </w:p>
        </w:tc>
        <w:tc>
          <w:tcPr>
            <w:tcW w:w="1469" w:type="dxa"/>
          </w:tcPr>
          <w:p w14:paraId="3F1C9031" w14:textId="77777777" w:rsidR="00F343D3" w:rsidRPr="00032AD9" w:rsidRDefault="00F343D3" w:rsidP="00525540">
            <w:pPr>
              <w:jc w:val="both"/>
              <w:rPr>
                <w:rFonts w:ascii="Times New Roman" w:hAnsi="Times New Roman" w:cs="Times New Roman"/>
                <w:lang w:val="en-GB"/>
              </w:rPr>
            </w:pPr>
          </w:p>
        </w:tc>
        <w:tc>
          <w:tcPr>
            <w:tcW w:w="5615" w:type="dxa"/>
          </w:tcPr>
          <w:p w14:paraId="45D46E03" w14:textId="77777777" w:rsidR="00F343D3" w:rsidRPr="00F343D3" w:rsidRDefault="00F343D3" w:rsidP="00525540">
            <w:pPr>
              <w:jc w:val="both"/>
              <w:rPr>
                <w:rFonts w:ascii="Times New Roman" w:hAnsi="Times New Roman" w:cs="Times New Roman"/>
                <w:lang w:val="sr-Cyrl"/>
              </w:rPr>
            </w:pPr>
            <w:r w:rsidRPr="00032AD9">
              <w:rPr>
                <w:rFonts w:ascii="Times New Roman" w:hAnsi="Times New Roman" w:cs="Times New Roman"/>
                <w:lang w:val="sr-Cyrl"/>
              </w:rPr>
              <w:t>Кључна агрономска пракса у Конзервацијској пољопривреди за годишње усеве. Дефинише се као метод узгоја којим се избегава ремећење земљишта орањем. Код одсуства орања, најмање 30% површине треба бити покривено остацима биљака одмах након успостављања усева. Усеви се сеју машинама које могу да поставе семе кроз остатке биљака из претходних усева.</w:t>
            </w:r>
          </w:p>
          <w:p w14:paraId="018D3B24" w14:textId="77777777" w:rsidR="00F343D3" w:rsidRPr="00F343D3" w:rsidRDefault="00F343D3" w:rsidP="00525540">
            <w:pPr>
              <w:jc w:val="both"/>
              <w:rPr>
                <w:rFonts w:ascii="Times New Roman" w:hAnsi="Times New Roman" w:cs="Times New Roman"/>
                <w:lang w:val="sr-Cyrl"/>
              </w:rPr>
            </w:pPr>
            <w:r w:rsidRPr="00032AD9">
              <w:rPr>
                <w:rFonts w:ascii="Times New Roman" w:hAnsi="Times New Roman" w:cs="Times New Roman"/>
                <w:lang w:val="sr-Cyrl"/>
              </w:rPr>
              <w:t>Одсуство орања је примарна агрономска пракса која карактерише Конзервацијску пољопривреду у случају годишњих усева и нуди највиши ниво очувања земљишта. То је зато што елиминише механичко орање земљишта. Додатно, у сушним подручјима, одсуство орања помаже да се задржи вода у земљишту смањењем губитака кроз испаравање са површине земљишта, које се обично повећава у случају конвенционалног орања које подразумева превртање земљишта.</w:t>
            </w:r>
          </w:p>
        </w:tc>
        <w:tc>
          <w:tcPr>
            <w:tcW w:w="616" w:type="dxa"/>
          </w:tcPr>
          <w:p w14:paraId="22228396"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1</w:t>
            </w:r>
          </w:p>
        </w:tc>
      </w:tr>
      <w:tr w:rsidR="00F343D3" w:rsidRPr="00032AD9" w14:paraId="59643503" w14:textId="77777777" w:rsidTr="2C6C7817">
        <w:tc>
          <w:tcPr>
            <w:tcW w:w="2062" w:type="dxa"/>
          </w:tcPr>
          <w:p w14:paraId="3562F0AA"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Оксидација</w:t>
            </w:r>
          </w:p>
        </w:tc>
        <w:tc>
          <w:tcPr>
            <w:tcW w:w="1469" w:type="dxa"/>
          </w:tcPr>
          <w:p w14:paraId="2FB772C7" w14:textId="77777777" w:rsidR="00F343D3" w:rsidRPr="00032AD9" w:rsidRDefault="00F343D3" w:rsidP="00525540">
            <w:pPr>
              <w:jc w:val="both"/>
              <w:rPr>
                <w:rFonts w:ascii="Times New Roman" w:hAnsi="Times New Roman" w:cs="Times New Roman"/>
                <w:lang w:val="en-GB"/>
              </w:rPr>
            </w:pPr>
          </w:p>
        </w:tc>
        <w:tc>
          <w:tcPr>
            <w:tcW w:w="5615" w:type="dxa"/>
          </w:tcPr>
          <w:p w14:paraId="2BBB0354" w14:textId="77777777" w:rsidR="00F343D3" w:rsidRPr="00F343D3" w:rsidRDefault="00F343D3" w:rsidP="00525540">
            <w:pPr>
              <w:jc w:val="both"/>
              <w:rPr>
                <w:rFonts w:ascii="Times New Roman" w:hAnsi="Times New Roman" w:cs="Times New Roman"/>
                <w:lang w:val="sr-Cyrl"/>
              </w:rPr>
            </w:pPr>
            <w:r w:rsidRPr="00032AD9">
              <w:rPr>
                <w:rFonts w:ascii="Times New Roman" w:hAnsi="Times New Roman" w:cs="Times New Roman"/>
                <w:lang w:val="sr-Cyrl"/>
              </w:rPr>
              <w:t>Додавање кисеоника, уклањање кисеоника или уклањање електрона из елемента или једињења. У животној средини, органска материја оксидира у стабилније супстанце. Оксидација је супротна „редукцији“. Оксидација органске материје се зове „сагоревање“, а кад је у питању гвожђе - „рђање“.</w:t>
            </w:r>
          </w:p>
        </w:tc>
        <w:tc>
          <w:tcPr>
            <w:tcW w:w="616" w:type="dxa"/>
          </w:tcPr>
          <w:p w14:paraId="407B687C"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w:t>
            </w:r>
          </w:p>
        </w:tc>
      </w:tr>
      <w:tr w:rsidR="00F343D3" w:rsidRPr="00032AD9" w14:paraId="16BEF0A6" w14:textId="77777777" w:rsidTr="2C6C7817">
        <w:tc>
          <w:tcPr>
            <w:tcW w:w="2062" w:type="dxa"/>
          </w:tcPr>
          <w:p w14:paraId="7452975E"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Органска пољопривреда</w:t>
            </w:r>
          </w:p>
        </w:tc>
        <w:tc>
          <w:tcPr>
            <w:tcW w:w="1469" w:type="dxa"/>
          </w:tcPr>
          <w:p w14:paraId="1F85E4D7" w14:textId="77777777" w:rsidR="00F343D3" w:rsidRPr="00032AD9" w:rsidRDefault="00F343D3" w:rsidP="00525540">
            <w:pPr>
              <w:jc w:val="both"/>
              <w:rPr>
                <w:rFonts w:ascii="Times New Roman" w:hAnsi="Times New Roman" w:cs="Times New Roman"/>
                <w:lang w:val="en-GB"/>
              </w:rPr>
            </w:pPr>
          </w:p>
        </w:tc>
        <w:tc>
          <w:tcPr>
            <w:tcW w:w="5615" w:type="dxa"/>
          </w:tcPr>
          <w:p w14:paraId="6EA8D0F6" w14:textId="77777777" w:rsidR="00F343D3" w:rsidRPr="00F343D3" w:rsidRDefault="00F343D3" w:rsidP="00525540">
            <w:pPr>
              <w:jc w:val="both"/>
              <w:rPr>
                <w:rFonts w:ascii="Times New Roman" w:hAnsi="Times New Roman" w:cs="Times New Roman"/>
                <w:lang w:val="sr-Cyrl"/>
              </w:rPr>
            </w:pPr>
            <w:r w:rsidRPr="00032AD9">
              <w:rPr>
                <w:rFonts w:ascii="Times New Roman" w:hAnsi="Times New Roman" w:cs="Times New Roman"/>
                <w:lang w:val="sr-Cyrl"/>
              </w:rPr>
              <w:t>Систем производње који избегава синтетичке хемикалије и промовише природну праксу гајења усева и животиња. Приоритет даје здрављу животне средине и земљишта, истовремено избегавајући генетички модификоване организме (ГМО), синтетичке пестициде и антибиотике. Ослања се на еколошке процесе, биодиверзитет и циклусе прилагођене локалним условима, уместо коришћења инпута с негативним ефектима.</w:t>
            </w:r>
          </w:p>
        </w:tc>
        <w:tc>
          <w:tcPr>
            <w:tcW w:w="616" w:type="dxa"/>
          </w:tcPr>
          <w:p w14:paraId="5D656ACC"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1</w:t>
            </w:r>
          </w:p>
        </w:tc>
      </w:tr>
      <w:tr w:rsidR="00F343D3" w:rsidRPr="00032AD9" w14:paraId="3F681BAD" w14:textId="77777777" w:rsidTr="2C6C7817">
        <w:tc>
          <w:tcPr>
            <w:tcW w:w="2062" w:type="dxa"/>
          </w:tcPr>
          <w:p w14:paraId="3622D04B"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Органско ђубриво</w:t>
            </w:r>
          </w:p>
        </w:tc>
        <w:tc>
          <w:tcPr>
            <w:tcW w:w="1469" w:type="dxa"/>
          </w:tcPr>
          <w:p w14:paraId="709DABBA" w14:textId="77777777" w:rsidR="00F343D3" w:rsidRPr="00032AD9" w:rsidRDefault="00F343D3" w:rsidP="00525540">
            <w:pPr>
              <w:jc w:val="both"/>
              <w:rPr>
                <w:rFonts w:ascii="Times New Roman" w:hAnsi="Times New Roman" w:cs="Times New Roman"/>
                <w:lang w:val="en-GB"/>
              </w:rPr>
            </w:pPr>
          </w:p>
        </w:tc>
        <w:tc>
          <w:tcPr>
            <w:tcW w:w="5615" w:type="dxa"/>
          </w:tcPr>
          <w:p w14:paraId="6BD200A5"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 xml:space="preserve">Ђубрива која се састоје од биљних и животињских материјала који су резултат нуспроизвода или крајњих продуката природних процеса, као што су животињски стајњак и компостиране органске материје. </w:t>
            </w:r>
          </w:p>
        </w:tc>
        <w:tc>
          <w:tcPr>
            <w:tcW w:w="616" w:type="dxa"/>
          </w:tcPr>
          <w:p w14:paraId="726FA05E"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1</w:t>
            </w:r>
          </w:p>
        </w:tc>
      </w:tr>
      <w:tr w:rsidR="00F343D3" w:rsidRPr="00032AD9" w14:paraId="3C582B00" w14:textId="77777777" w:rsidTr="2C6C7817">
        <w:tc>
          <w:tcPr>
            <w:tcW w:w="2062" w:type="dxa"/>
          </w:tcPr>
          <w:p w14:paraId="17FA9A7C"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Остатак</w:t>
            </w:r>
          </w:p>
        </w:tc>
        <w:tc>
          <w:tcPr>
            <w:tcW w:w="1469" w:type="dxa"/>
          </w:tcPr>
          <w:p w14:paraId="04054A56" w14:textId="77777777" w:rsidR="00F343D3" w:rsidRPr="00032AD9" w:rsidRDefault="00F343D3" w:rsidP="00525540">
            <w:pPr>
              <w:jc w:val="both"/>
              <w:rPr>
                <w:rFonts w:ascii="Times New Roman" w:hAnsi="Times New Roman" w:cs="Times New Roman"/>
                <w:lang w:val="en-GB"/>
              </w:rPr>
            </w:pPr>
          </w:p>
        </w:tc>
        <w:tc>
          <w:tcPr>
            <w:tcW w:w="5615" w:type="dxa"/>
          </w:tcPr>
          <w:p w14:paraId="5A017D10"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Сав органски материјал настао током производње, обраде или конзумирања усева, од корења, стрњика, сламе и лишћа до индустријског и градског „отпада“.</w:t>
            </w:r>
          </w:p>
        </w:tc>
        <w:tc>
          <w:tcPr>
            <w:tcW w:w="616" w:type="dxa"/>
          </w:tcPr>
          <w:p w14:paraId="0627B505"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w:t>
            </w:r>
          </w:p>
        </w:tc>
      </w:tr>
      <w:tr w:rsidR="00F343D3" w:rsidRPr="00032AD9" w14:paraId="05DD0A1E" w14:textId="77777777" w:rsidTr="2C6C7817">
        <w:tc>
          <w:tcPr>
            <w:tcW w:w="2062" w:type="dxa"/>
          </w:tcPr>
          <w:p w14:paraId="1D7682F5"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lastRenderedPageBreak/>
              <w:t>Отпорност</w:t>
            </w:r>
          </w:p>
        </w:tc>
        <w:tc>
          <w:tcPr>
            <w:tcW w:w="1469" w:type="dxa"/>
          </w:tcPr>
          <w:p w14:paraId="668AB051" w14:textId="77777777" w:rsidR="00F343D3" w:rsidRPr="00032AD9" w:rsidRDefault="00F343D3" w:rsidP="00525540">
            <w:pPr>
              <w:jc w:val="both"/>
              <w:rPr>
                <w:rFonts w:ascii="Times New Roman" w:hAnsi="Times New Roman" w:cs="Times New Roman"/>
                <w:lang w:val="en-GB"/>
              </w:rPr>
            </w:pPr>
          </w:p>
        </w:tc>
        <w:tc>
          <w:tcPr>
            <w:tcW w:w="5615" w:type="dxa"/>
          </w:tcPr>
          <w:p w14:paraId="719AFFEB"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Способност екосистема да издржи стрес или пертурбацију без негативних промена своје структуре или функције, чиме се задржава стање равнотеже.</w:t>
            </w:r>
          </w:p>
        </w:tc>
        <w:tc>
          <w:tcPr>
            <w:tcW w:w="616" w:type="dxa"/>
          </w:tcPr>
          <w:p w14:paraId="6258DB2C"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w:t>
            </w:r>
          </w:p>
        </w:tc>
      </w:tr>
      <w:tr w:rsidR="00F343D3" w:rsidRPr="00032AD9" w14:paraId="4B8314BE" w14:textId="77777777" w:rsidTr="2C6C7817">
        <w:tc>
          <w:tcPr>
            <w:tcW w:w="2062" w:type="dxa"/>
          </w:tcPr>
          <w:p w14:paraId="0BD9E04B" w14:textId="77777777" w:rsidR="00F343D3" w:rsidRPr="00032AD9" w:rsidRDefault="00F343D3" w:rsidP="00A655ED">
            <w:pPr>
              <w:rPr>
                <w:rFonts w:ascii="Times New Roman" w:hAnsi="Times New Roman" w:cs="Times New Roman"/>
                <w:b/>
                <w:color w:val="BF4E14" w:themeColor="accent2" w:themeShade="BF"/>
                <w:lang w:val="en-GB"/>
              </w:rPr>
            </w:pPr>
            <w:r w:rsidRPr="00032AD9">
              <w:rPr>
                <w:rFonts w:ascii="Times New Roman" w:hAnsi="Times New Roman" w:cs="Times New Roman"/>
                <w:b/>
                <w:color w:val="3A7C22" w:themeColor="accent6" w:themeShade="BF"/>
                <w:lang w:val="sr-Cyrl"/>
              </w:rPr>
              <w:t>Пермакултура</w:t>
            </w:r>
          </w:p>
        </w:tc>
        <w:tc>
          <w:tcPr>
            <w:tcW w:w="1469" w:type="dxa"/>
          </w:tcPr>
          <w:p w14:paraId="407E43FC" w14:textId="77777777" w:rsidR="00F343D3" w:rsidRPr="00032AD9" w:rsidRDefault="00F343D3" w:rsidP="00A655ED">
            <w:pPr>
              <w:jc w:val="both"/>
              <w:rPr>
                <w:rFonts w:ascii="Times New Roman" w:hAnsi="Times New Roman" w:cs="Times New Roman"/>
                <w:lang w:val="en-GB"/>
              </w:rPr>
            </w:pPr>
          </w:p>
        </w:tc>
        <w:tc>
          <w:tcPr>
            <w:tcW w:w="5615" w:type="dxa"/>
          </w:tcPr>
          <w:p w14:paraId="4702F0DD"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lang w:val="sr-Cyrl"/>
              </w:rPr>
              <w:t xml:space="preserve">Пермакултура креира пољопривредно продуктивне екосистеме који опонашају диверзитет, стабилност и резилијенцију природних екосистема. Пермакултура има за циљ развој пејзажа који ће бити самоодржив и продуктиван за генерације које долазе. То је систем регенеративног узгоја који обухвата скуп пољопривредних пракси, одабир структурног система, комбиновање и уређивање тих пракси, као и резултирајући систем агроекономског узгоја. Може се користити на скали од биљака на балкону до великог броја хектара под засадима. </w:t>
            </w:r>
          </w:p>
        </w:tc>
        <w:tc>
          <w:tcPr>
            <w:tcW w:w="616" w:type="dxa"/>
          </w:tcPr>
          <w:p w14:paraId="56DF31B7" w14:textId="77777777" w:rsidR="00F343D3" w:rsidRPr="00032AD9" w:rsidRDefault="00F343D3" w:rsidP="00A655ED">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14</w:t>
            </w:r>
          </w:p>
        </w:tc>
      </w:tr>
      <w:tr w:rsidR="00F343D3" w:rsidRPr="00032AD9" w14:paraId="5B380724" w14:textId="77777777" w:rsidTr="2C6C7817">
        <w:tc>
          <w:tcPr>
            <w:tcW w:w="2062" w:type="dxa"/>
          </w:tcPr>
          <w:p w14:paraId="7EBFA000" w14:textId="77777777" w:rsidR="00F343D3" w:rsidRPr="00032AD9" w:rsidRDefault="00F343D3" w:rsidP="00A655ED">
            <w:pPr>
              <w:rPr>
                <w:rFonts w:ascii="Times New Roman" w:hAnsi="Times New Roman" w:cs="Times New Roman"/>
                <w:b/>
                <w:color w:val="BF4E14" w:themeColor="accent2" w:themeShade="BF"/>
                <w:lang w:val="en-GB"/>
              </w:rPr>
            </w:pPr>
            <w:r w:rsidRPr="00032AD9">
              <w:rPr>
                <w:rFonts w:ascii="Times New Roman" w:hAnsi="Times New Roman" w:cs="Times New Roman"/>
                <w:b/>
                <w:color w:val="3A7C22" w:themeColor="accent6" w:themeShade="BF"/>
                <w:lang w:val="sr-Cyrl"/>
              </w:rPr>
              <w:t>Планетарно здравље</w:t>
            </w:r>
          </w:p>
        </w:tc>
        <w:tc>
          <w:tcPr>
            <w:tcW w:w="1469" w:type="dxa"/>
          </w:tcPr>
          <w:p w14:paraId="186A1E2F" w14:textId="77777777" w:rsidR="00F343D3" w:rsidRPr="00032AD9" w:rsidRDefault="00F343D3" w:rsidP="00A655ED">
            <w:pPr>
              <w:jc w:val="both"/>
              <w:rPr>
                <w:rFonts w:ascii="Times New Roman" w:hAnsi="Times New Roman" w:cs="Times New Roman"/>
                <w:lang w:val="en-GB"/>
              </w:rPr>
            </w:pPr>
          </w:p>
        </w:tc>
        <w:tc>
          <w:tcPr>
            <w:tcW w:w="5615" w:type="dxa"/>
          </w:tcPr>
          <w:p w14:paraId="3A14A00E"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lang w:val="sr-Cyrl"/>
              </w:rPr>
              <w:t>Када је реч о планетарном здрављу, земљиште доприноси већем броју кључних процеса, укључујући и путем производње биомасе, регулисања фонда угљеника, пружања станишта за 25% глобалног биодиверзитета, кружење хранљивих материја од којих зависе системи на земљи и кружења воде. Деградација земљишта директно штети планетарном здрављу и смањује способност земљишта да помогне у здрављу будућих људских генерација.</w:t>
            </w:r>
          </w:p>
        </w:tc>
        <w:tc>
          <w:tcPr>
            <w:tcW w:w="616" w:type="dxa"/>
          </w:tcPr>
          <w:p w14:paraId="444D0EA7" w14:textId="77777777" w:rsidR="00F343D3" w:rsidRPr="00032AD9" w:rsidRDefault="00F343D3" w:rsidP="00A655ED">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12</w:t>
            </w:r>
          </w:p>
        </w:tc>
      </w:tr>
      <w:tr w:rsidR="00F343D3" w:rsidRPr="00032AD9" w14:paraId="403CA8A9" w14:textId="77777777" w:rsidTr="2C6C7817">
        <w:tc>
          <w:tcPr>
            <w:tcW w:w="2062" w:type="dxa"/>
          </w:tcPr>
          <w:p w14:paraId="0F76CE31"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Плодност земљишта</w:t>
            </w:r>
          </w:p>
        </w:tc>
        <w:tc>
          <w:tcPr>
            <w:tcW w:w="1469" w:type="dxa"/>
          </w:tcPr>
          <w:p w14:paraId="5BD0E6AC" w14:textId="77777777" w:rsidR="00F343D3" w:rsidRPr="00032AD9" w:rsidRDefault="00F343D3" w:rsidP="00525540">
            <w:pPr>
              <w:jc w:val="both"/>
              <w:rPr>
                <w:rFonts w:ascii="Times New Roman" w:hAnsi="Times New Roman" w:cs="Times New Roman"/>
                <w:lang w:val="en-GB"/>
              </w:rPr>
            </w:pPr>
          </w:p>
        </w:tc>
        <w:tc>
          <w:tcPr>
            <w:tcW w:w="5615" w:type="dxa"/>
          </w:tcPr>
          <w:p w14:paraId="782E2926" w14:textId="77777777" w:rsidR="00F343D3" w:rsidRPr="00F343D3" w:rsidRDefault="00F343D3" w:rsidP="00525540">
            <w:pPr>
              <w:jc w:val="both"/>
              <w:rPr>
                <w:rFonts w:ascii="Times New Roman" w:hAnsi="Times New Roman" w:cs="Times New Roman"/>
                <w:lang w:val="sr-Cyrl"/>
              </w:rPr>
            </w:pPr>
            <w:r w:rsidRPr="00032AD9">
              <w:rPr>
                <w:rFonts w:ascii="Times New Roman" w:hAnsi="Times New Roman" w:cs="Times New Roman"/>
                <w:lang w:val="sr-Cyrl"/>
              </w:rPr>
              <w:t>Способност земљишта да обезбеди основне хранљиве материје и воду земљишта у одговарајућим количинама и пропорцијама за раст и репродукцију биљака. Карактеришу је повољна хемијска, физичка и биолошка својства као станиште за раст биљака.</w:t>
            </w:r>
          </w:p>
        </w:tc>
        <w:tc>
          <w:tcPr>
            <w:tcW w:w="616" w:type="dxa"/>
          </w:tcPr>
          <w:p w14:paraId="1DEDA0C0"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2, 4</w:t>
            </w:r>
          </w:p>
        </w:tc>
      </w:tr>
      <w:tr w:rsidR="00F343D3" w:rsidRPr="00032AD9" w14:paraId="65F8A851" w14:textId="77777777" w:rsidTr="2C6C7817">
        <w:tc>
          <w:tcPr>
            <w:tcW w:w="2062" w:type="dxa"/>
          </w:tcPr>
          <w:p w14:paraId="721F3D19"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Подземне воде</w:t>
            </w:r>
          </w:p>
        </w:tc>
        <w:tc>
          <w:tcPr>
            <w:tcW w:w="1469" w:type="dxa"/>
          </w:tcPr>
          <w:p w14:paraId="3377E2E4" w14:textId="77777777" w:rsidR="00F343D3" w:rsidRPr="00032AD9" w:rsidRDefault="00F343D3" w:rsidP="00525540">
            <w:pPr>
              <w:jc w:val="both"/>
              <w:rPr>
                <w:rFonts w:ascii="Times New Roman" w:hAnsi="Times New Roman" w:cs="Times New Roman"/>
                <w:lang w:val="en-GB"/>
              </w:rPr>
            </w:pPr>
          </w:p>
        </w:tc>
        <w:tc>
          <w:tcPr>
            <w:tcW w:w="5615" w:type="dxa"/>
          </w:tcPr>
          <w:p w14:paraId="19481395" w14:textId="77777777" w:rsidR="00F343D3" w:rsidRPr="00032AD9" w:rsidRDefault="00F343D3" w:rsidP="00525540">
            <w:pPr>
              <w:jc w:val="both"/>
              <w:rPr>
                <w:rFonts w:ascii="Times New Roman" w:hAnsi="Times New Roman" w:cs="Times New Roman"/>
                <w:lang w:val="sr-Cyrl"/>
              </w:rPr>
            </w:pPr>
            <w:r w:rsidRPr="00032AD9">
              <w:rPr>
                <w:rFonts w:ascii="Times New Roman" w:hAnsi="Times New Roman" w:cs="Times New Roman"/>
                <w:lang w:val="sr-Cyrl"/>
              </w:rPr>
              <w:t>Свежа вода која се налази испод површине земље и која испуњава шупљине у земљиној кори (поре, пукотине у земљишту, песку и стенама) у континуитету – и која пуни бунаре и изворе, искључујући воду у вадозној (незасићеној) зони. Дефиниција се односи на све сталне и привремене водене резервоаре, који су настали и вештачки и природно, довољне количине барем за сезонску употребу. Залихе подземних вода надокнађују се или допуњавају кишом или снегом који се отапа, у зависности од климатских услова. Обично се могу повратити из подземне формације или путем ње.</w:t>
            </w:r>
          </w:p>
        </w:tc>
        <w:tc>
          <w:tcPr>
            <w:tcW w:w="616" w:type="dxa"/>
          </w:tcPr>
          <w:p w14:paraId="7D23EAEE"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w:t>
            </w:r>
          </w:p>
        </w:tc>
      </w:tr>
      <w:tr w:rsidR="00F343D3" w:rsidRPr="00032AD9" w14:paraId="4285CDD4" w14:textId="77777777" w:rsidTr="2C6C7817">
        <w:tc>
          <w:tcPr>
            <w:tcW w:w="2062" w:type="dxa"/>
          </w:tcPr>
          <w:p w14:paraId="0F5E0F02" w14:textId="77777777" w:rsidR="00F343D3" w:rsidRPr="00032AD9" w:rsidRDefault="00F343D3" w:rsidP="00A655ED">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Познавање земљишта</w:t>
            </w:r>
          </w:p>
        </w:tc>
        <w:tc>
          <w:tcPr>
            <w:tcW w:w="1469" w:type="dxa"/>
          </w:tcPr>
          <w:p w14:paraId="26728291" w14:textId="77777777" w:rsidR="00F343D3" w:rsidRPr="00032AD9" w:rsidRDefault="00F343D3" w:rsidP="00A655ED">
            <w:pPr>
              <w:jc w:val="both"/>
              <w:rPr>
                <w:rFonts w:ascii="Times New Roman" w:hAnsi="Times New Roman" w:cs="Times New Roman"/>
                <w:lang w:val="en-GB"/>
              </w:rPr>
            </w:pPr>
          </w:p>
        </w:tc>
        <w:tc>
          <w:tcPr>
            <w:tcW w:w="5615" w:type="dxa"/>
          </w:tcPr>
          <w:p w14:paraId="1207A90E"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lang w:val="sr-Cyrl"/>
              </w:rPr>
              <w:t xml:space="preserve">Познавање земљишта је разумевање и познавање улоге земљишта у здрављу екосистема, пољопривреде и животне средине. Обухвата познавање састава земљишта, функција и руковођења која подстичу на одрживо коришћење земље. </w:t>
            </w:r>
          </w:p>
          <w:p w14:paraId="4AED304A"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lang w:val="sr-Cyrl"/>
              </w:rPr>
              <w:t>Кључни аспекти познавања земљишта су:</w:t>
            </w:r>
          </w:p>
          <w:p w14:paraId="08625530"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b/>
                <w:lang w:val="sr-Cyrl"/>
              </w:rPr>
              <w:t>Разумевање важности састава земљишта</w:t>
            </w:r>
            <w:r w:rsidRPr="00032AD9">
              <w:rPr>
                <w:rFonts w:ascii="Times New Roman" w:hAnsi="Times New Roman" w:cs="Times New Roman"/>
                <w:lang w:val="sr-Cyrl"/>
              </w:rPr>
              <w:t>: Познавање физичких и хемијских својстава земљишта, укључујући минеролошки састав, садржај органске материје и влажности.</w:t>
            </w:r>
          </w:p>
          <w:p w14:paraId="3F6ABECC"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b/>
                <w:bCs/>
                <w:lang w:val="sr-Cyrl"/>
              </w:rPr>
              <w:t>Функције земљишта</w:t>
            </w:r>
            <w:r w:rsidRPr="00032AD9">
              <w:rPr>
                <w:rFonts w:ascii="Times New Roman" w:hAnsi="Times New Roman" w:cs="Times New Roman"/>
                <w:lang w:val="sr-Cyrl"/>
              </w:rPr>
              <w:t>: Познавање разних улога које земљиште игра, као што су помоћ у расту биљака, регулисање кружења воде, чување угљеника и пружање станишта организмима.</w:t>
            </w:r>
          </w:p>
          <w:p w14:paraId="7D265FF6"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b/>
                <w:lang w:val="sr-Cyrl"/>
              </w:rPr>
              <w:t>Руковођење земљиштем</w:t>
            </w:r>
            <w:r w:rsidRPr="00032AD9">
              <w:rPr>
                <w:rFonts w:ascii="Times New Roman" w:hAnsi="Times New Roman" w:cs="Times New Roman"/>
                <w:lang w:val="sr-Cyrl"/>
              </w:rPr>
              <w:t xml:space="preserve">: Познавање одрживе праксе којом се унапређује здравље земљишта, попут ротације </w:t>
            </w:r>
            <w:r w:rsidRPr="00032AD9">
              <w:rPr>
                <w:rFonts w:ascii="Times New Roman" w:hAnsi="Times New Roman" w:cs="Times New Roman"/>
                <w:lang w:val="sr-Cyrl"/>
              </w:rPr>
              <w:lastRenderedPageBreak/>
              <w:t>усева, покровних усева, мање орања и коришћење органских додатака.</w:t>
            </w:r>
          </w:p>
          <w:p w14:paraId="443C67FD"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b/>
                <w:lang w:val="sr-Cyrl"/>
              </w:rPr>
              <w:t>Утицај на екосистеме</w:t>
            </w:r>
            <w:r w:rsidRPr="00032AD9">
              <w:rPr>
                <w:rFonts w:ascii="Times New Roman" w:hAnsi="Times New Roman" w:cs="Times New Roman"/>
                <w:lang w:val="sr-Cyrl"/>
              </w:rPr>
              <w:t>: Препознавање начина на који здравље земљишта утиче на шира питања животне средине као што су биодиверзитет, климатске промене и квалитет вода.</w:t>
            </w:r>
          </w:p>
          <w:p w14:paraId="5C6E260E"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b/>
                <w:lang w:val="sr-Cyrl"/>
              </w:rPr>
              <w:t>Укључивање заједнице</w:t>
            </w:r>
            <w:r w:rsidRPr="00032AD9">
              <w:rPr>
                <w:rFonts w:ascii="Times New Roman" w:hAnsi="Times New Roman" w:cs="Times New Roman"/>
                <w:lang w:val="sr-Cyrl"/>
              </w:rPr>
              <w:t>: Подстицање локалне заједнице на укључивање у теме везане за земљиште путем едукације и партиципаторне праксе.</w:t>
            </w:r>
          </w:p>
          <w:p w14:paraId="08B6DC6D"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lang w:val="sr-Cyrl"/>
              </w:rPr>
              <w:t>Познавање земљишта је кључно за јачање одрживе пољопривредне праксе и подстицање очувања животне средине. Оно омогућује појединцима и заједницама да доносе информисане одлуке по питању коришћења земље и напора на очувању.</w:t>
            </w:r>
          </w:p>
        </w:tc>
        <w:tc>
          <w:tcPr>
            <w:tcW w:w="616" w:type="dxa"/>
          </w:tcPr>
          <w:p w14:paraId="6A33064E" w14:textId="77777777" w:rsidR="00F343D3" w:rsidRPr="00032AD9" w:rsidRDefault="00F343D3" w:rsidP="00A655ED">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lastRenderedPageBreak/>
              <w:t>23, Loess</w:t>
            </w:r>
          </w:p>
        </w:tc>
      </w:tr>
      <w:tr w:rsidR="00F343D3" w:rsidRPr="00032AD9" w14:paraId="7D700A9F" w14:textId="77777777" w:rsidTr="2C6C7817">
        <w:tc>
          <w:tcPr>
            <w:tcW w:w="2062" w:type="dxa"/>
          </w:tcPr>
          <w:p w14:paraId="223622A5"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Пољопривреда</w:t>
            </w:r>
          </w:p>
        </w:tc>
        <w:tc>
          <w:tcPr>
            <w:tcW w:w="1469" w:type="dxa"/>
          </w:tcPr>
          <w:p w14:paraId="11DBEB9C" w14:textId="77777777" w:rsidR="00F343D3" w:rsidRPr="00032AD9" w:rsidRDefault="00F343D3" w:rsidP="002A67F8">
            <w:pPr>
              <w:jc w:val="both"/>
              <w:rPr>
                <w:rFonts w:ascii="Times New Roman" w:hAnsi="Times New Roman" w:cs="Times New Roman"/>
                <w:lang w:val="en-GB"/>
              </w:rPr>
            </w:pPr>
          </w:p>
        </w:tc>
        <w:tc>
          <w:tcPr>
            <w:tcW w:w="5615" w:type="dxa"/>
          </w:tcPr>
          <w:p w14:paraId="3CEA8714" w14:textId="77777777" w:rsidR="00F343D3" w:rsidRPr="00032AD9" w:rsidRDefault="00F343D3" w:rsidP="002A67F8">
            <w:pPr>
              <w:jc w:val="both"/>
              <w:rPr>
                <w:rFonts w:ascii="Times New Roman" w:hAnsi="Times New Roman" w:cs="Times New Roman"/>
                <w:lang w:val="sr-Cyrl"/>
              </w:rPr>
            </w:pPr>
            <w:r w:rsidRPr="00032AD9">
              <w:rPr>
                <w:rFonts w:ascii="Times New Roman" w:hAnsi="Times New Roman" w:cs="Times New Roman"/>
                <w:color w:val="404040" w:themeColor="text1" w:themeTint="BF"/>
                <w:lang w:val="sr-Cyrl"/>
              </w:rPr>
              <w:t>Пољопривреда се односи на науку, уметност и праксу гајења биљака и узгоја животиња ради производње хране, влакана, лековитих биљака и других производа који се користе за одржавање и унапређење људског живота. Обухвата широк спектар активности, укључујући припрему тла, садњу, наводњавање, сузбијање штеточина, жетву и управљање сточним фондом. Пољопривреда је једна од основних компоненти људске цивилизације и представља главни извор хране и сировина за разне индустрије. Игра и кључну улогу у економском развоју, управљању животном средином и културолошкој пракси.</w:t>
            </w:r>
          </w:p>
        </w:tc>
        <w:tc>
          <w:tcPr>
            <w:tcW w:w="616" w:type="dxa"/>
          </w:tcPr>
          <w:p w14:paraId="0C4CE814"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38</w:t>
            </w:r>
          </w:p>
        </w:tc>
      </w:tr>
      <w:tr w:rsidR="00F343D3" w:rsidRPr="00032AD9" w14:paraId="6096A779" w14:textId="77777777" w:rsidTr="2C6C7817">
        <w:tc>
          <w:tcPr>
            <w:tcW w:w="2062" w:type="dxa"/>
          </w:tcPr>
          <w:p w14:paraId="4E548147" w14:textId="77777777" w:rsidR="00F343D3" w:rsidRPr="00F343D3" w:rsidRDefault="00F343D3" w:rsidP="00A655ED">
            <w:pPr>
              <w:rPr>
                <w:rFonts w:ascii="Times New Roman" w:hAnsi="Times New Roman" w:cs="Times New Roman"/>
                <w:b/>
                <w:color w:val="D86DCB" w:themeColor="accent5" w:themeTint="99"/>
                <w:lang w:val="es-ES"/>
              </w:rPr>
            </w:pPr>
            <w:r w:rsidRPr="00032AD9">
              <w:rPr>
                <w:rFonts w:ascii="Times New Roman" w:hAnsi="Times New Roman" w:cs="Times New Roman"/>
                <w:b/>
                <w:color w:val="3A7C22" w:themeColor="accent6" w:themeShade="BF"/>
                <w:lang w:val="sr-Cyrl"/>
              </w:rPr>
              <w:t>Пољопривреда која не зависи од земљишта</w:t>
            </w:r>
          </w:p>
        </w:tc>
        <w:tc>
          <w:tcPr>
            <w:tcW w:w="1469" w:type="dxa"/>
          </w:tcPr>
          <w:p w14:paraId="1AF06307" w14:textId="77777777" w:rsidR="00F343D3" w:rsidRPr="00F343D3" w:rsidRDefault="00F343D3" w:rsidP="00A655ED">
            <w:pPr>
              <w:jc w:val="both"/>
              <w:rPr>
                <w:rFonts w:ascii="Times New Roman" w:hAnsi="Times New Roman" w:cs="Times New Roman"/>
                <w:lang w:val="es-ES"/>
              </w:rPr>
            </w:pPr>
          </w:p>
        </w:tc>
        <w:tc>
          <w:tcPr>
            <w:tcW w:w="5615" w:type="dxa"/>
          </w:tcPr>
          <w:p w14:paraId="1313BC0B"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lang w:val="sr-Cyrl"/>
              </w:rPr>
              <w:t>Метод ратарства који се не ослања на традиционални узгој у земљишту. Овај приступ користи алтернативна средства узгоја, као што су хидропонија, аеропонија или аквапонија, за производњу усева. Пољопривреда која не зависи од земљишта има за циљ оптимизацију ресурса, смањење деградације земљишта на најмању меру и повећање прехрамбене производње у урбаним или сушним срединама где је квалитет земљишта лош или где нема земљишта. Овај метод често наглашава одрживост, ефикасност и способност контроле фактора животне средине зарад бољег приноса усева.</w:t>
            </w:r>
          </w:p>
        </w:tc>
        <w:tc>
          <w:tcPr>
            <w:tcW w:w="616" w:type="dxa"/>
          </w:tcPr>
          <w:p w14:paraId="7721A3D2" w14:textId="77777777" w:rsidR="00F343D3" w:rsidRPr="00032AD9" w:rsidRDefault="00F343D3" w:rsidP="00A655ED">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33</w:t>
            </w:r>
          </w:p>
        </w:tc>
      </w:tr>
      <w:tr w:rsidR="00F343D3" w:rsidRPr="00032AD9" w14:paraId="74A2FDA9" w14:textId="77777777" w:rsidTr="2C6C7817">
        <w:tc>
          <w:tcPr>
            <w:tcW w:w="2062" w:type="dxa"/>
          </w:tcPr>
          <w:p w14:paraId="0EA3B449"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Праћење квалитета земљишта</w:t>
            </w:r>
          </w:p>
        </w:tc>
        <w:tc>
          <w:tcPr>
            <w:tcW w:w="1469" w:type="dxa"/>
          </w:tcPr>
          <w:p w14:paraId="39481A81" w14:textId="77777777" w:rsidR="00F343D3" w:rsidRPr="00032AD9" w:rsidRDefault="00F343D3" w:rsidP="00525540">
            <w:pPr>
              <w:jc w:val="both"/>
              <w:rPr>
                <w:rFonts w:ascii="Times New Roman" w:hAnsi="Times New Roman" w:cs="Times New Roman"/>
                <w:lang w:val="en-GB"/>
              </w:rPr>
            </w:pPr>
          </w:p>
        </w:tc>
        <w:tc>
          <w:tcPr>
            <w:tcW w:w="5615" w:type="dxa"/>
          </w:tcPr>
          <w:p w14:paraId="1E2D935E"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Праћење трендова у погледу квантитативних индикатора или функционалног капацитета земљишта како би се утврдила успешност руковођења или потреба за додатним променама у руковођењу. Праћење обухвата уредно прикупљање, анализу и тумачење података са истих локација током времена. (Упоредити са оцењивањем.)</w:t>
            </w:r>
          </w:p>
        </w:tc>
        <w:tc>
          <w:tcPr>
            <w:tcW w:w="616" w:type="dxa"/>
          </w:tcPr>
          <w:p w14:paraId="557B4215"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3</w:t>
            </w:r>
          </w:p>
        </w:tc>
      </w:tr>
      <w:tr w:rsidR="00F343D3" w:rsidRPr="00032AD9" w14:paraId="6BF84C43" w14:textId="77777777" w:rsidTr="2C6C7817">
        <w:tc>
          <w:tcPr>
            <w:tcW w:w="2062" w:type="dxa"/>
          </w:tcPr>
          <w:p w14:paraId="2BEA3B06"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Природни капитал</w:t>
            </w:r>
          </w:p>
        </w:tc>
        <w:tc>
          <w:tcPr>
            <w:tcW w:w="1469" w:type="dxa"/>
          </w:tcPr>
          <w:p w14:paraId="53E72E1E" w14:textId="77777777" w:rsidR="00F343D3" w:rsidRPr="00032AD9" w:rsidRDefault="00F343D3" w:rsidP="00525540">
            <w:pPr>
              <w:jc w:val="both"/>
              <w:rPr>
                <w:rFonts w:ascii="Times New Roman" w:hAnsi="Times New Roman" w:cs="Times New Roman"/>
                <w:lang w:val="en-GB"/>
              </w:rPr>
            </w:pPr>
          </w:p>
        </w:tc>
        <w:tc>
          <w:tcPr>
            <w:tcW w:w="5615" w:type="dxa"/>
          </w:tcPr>
          <w:p w14:paraId="66E1260A" w14:textId="77777777" w:rsidR="00F343D3" w:rsidRPr="00F343D3" w:rsidRDefault="00F343D3" w:rsidP="00525540">
            <w:pPr>
              <w:jc w:val="both"/>
              <w:rPr>
                <w:rFonts w:ascii="Times New Roman" w:hAnsi="Times New Roman" w:cs="Times New Roman"/>
                <w:lang w:val="sr-Cyrl"/>
              </w:rPr>
            </w:pPr>
            <w:r w:rsidRPr="00032AD9">
              <w:rPr>
                <w:rFonts w:ascii="Times New Roman" w:hAnsi="Times New Roman" w:cs="Times New Roman"/>
                <w:lang w:val="sr-Cyrl"/>
              </w:rPr>
              <w:t xml:space="preserve">Односи се и на живе (нпр. рибљи фонд, шуме) и неживе (нпр. минерали, енергетски ресурси) аспекте природе. То је фонд екосистема на Земљи, укључујући ваздух, воду, биодиверзитет и геодиверзитет. Овај фонд је у основи наше економије и друштва јер производи вредност за људе, како директно тако и индиректно. Добра и услуге које људи пружају тако што одрживо управљају природним капиталом обухватају читав низ социјалних предности и предности животне средине, као што су чист ваздух и вода, ублажавање климатских промена и прилагођавање, храна, енергија, места за живот, </w:t>
            </w:r>
            <w:r w:rsidRPr="00032AD9">
              <w:rPr>
                <w:rFonts w:ascii="Times New Roman" w:hAnsi="Times New Roman" w:cs="Times New Roman"/>
                <w:lang w:val="sr-Cyrl"/>
              </w:rPr>
              <w:lastRenderedPageBreak/>
              <w:t>материјали за производе, рекреација и заштита од опасности.</w:t>
            </w:r>
          </w:p>
        </w:tc>
        <w:tc>
          <w:tcPr>
            <w:tcW w:w="616" w:type="dxa"/>
          </w:tcPr>
          <w:p w14:paraId="667D321C"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lastRenderedPageBreak/>
              <w:t>1, 2</w:t>
            </w:r>
          </w:p>
        </w:tc>
      </w:tr>
      <w:tr w:rsidR="00F343D3" w:rsidRPr="00032AD9" w14:paraId="14CA1933" w14:textId="77777777" w:rsidTr="2C6C7817">
        <w:tc>
          <w:tcPr>
            <w:tcW w:w="2062" w:type="dxa"/>
          </w:tcPr>
          <w:p w14:paraId="2F929C5A" w14:textId="77777777" w:rsidR="00F343D3" w:rsidRPr="00F343D3" w:rsidRDefault="00F343D3" w:rsidP="2C6C7817">
            <w:pPr>
              <w:rPr>
                <w:rFonts w:ascii="Times New Roman" w:eastAsia="Times New Roman" w:hAnsi="Times New Roman" w:cs="Times New Roman"/>
                <w:b/>
                <w:bCs/>
                <w:color w:val="3A7C22" w:themeColor="accent6" w:themeShade="BF"/>
                <w:lang w:val="es-ES"/>
              </w:rPr>
            </w:pPr>
            <w:r w:rsidRPr="00032AD9">
              <w:rPr>
                <w:rFonts w:ascii="Times New Roman" w:eastAsia="Times New Roman" w:hAnsi="Times New Roman" w:cs="Times New Roman"/>
                <w:b/>
                <w:bCs/>
                <w:color w:val="3A7C22" w:themeColor="accent6" w:themeShade="BF"/>
                <w:lang w:val="sr-Cyrl"/>
              </w:rPr>
              <w:t xml:space="preserve">Приступ на нивоу већег броја сектора </w:t>
            </w:r>
          </w:p>
        </w:tc>
        <w:tc>
          <w:tcPr>
            <w:tcW w:w="1469" w:type="dxa"/>
          </w:tcPr>
          <w:p w14:paraId="268505D5" w14:textId="77777777" w:rsidR="00F343D3" w:rsidRPr="00F343D3" w:rsidRDefault="00F343D3" w:rsidP="00A655ED">
            <w:pPr>
              <w:jc w:val="both"/>
              <w:rPr>
                <w:rFonts w:ascii="Times New Roman" w:hAnsi="Times New Roman" w:cs="Times New Roman"/>
                <w:lang w:val="es-ES"/>
              </w:rPr>
            </w:pPr>
          </w:p>
        </w:tc>
        <w:tc>
          <w:tcPr>
            <w:tcW w:w="5615" w:type="dxa"/>
          </w:tcPr>
          <w:p w14:paraId="583D8DC0" w14:textId="77777777" w:rsidR="00F343D3" w:rsidRPr="00032AD9" w:rsidRDefault="00F343D3" w:rsidP="00A655ED">
            <w:pPr>
              <w:jc w:val="both"/>
              <w:rPr>
                <w:rFonts w:ascii="Times New Roman" w:hAnsi="Times New Roman" w:cs="Times New Roman"/>
                <w:lang w:val="en-GB"/>
              </w:rPr>
            </w:pPr>
            <w:r w:rsidRPr="00032AD9">
              <w:rPr>
                <w:rFonts w:ascii="Times New Roman" w:hAnsi="Times New Roman" w:cs="Times New Roman"/>
                <w:lang w:val="sr-Cyrl"/>
              </w:rPr>
              <w:t>Сарадња истраживача из различитих дисциплина на решавању конкретног проблема, при чему свака од дисциплина доприноси својим јединственим знањем и техникама, што доводи до свеобухватнијег разумевања проблема.</w:t>
            </w:r>
            <w:r w:rsidRPr="00032AD9">
              <w:rPr>
                <w:lang w:val="sr-Cyrl"/>
              </w:rPr>
              <w:t xml:space="preserve"> </w:t>
            </w:r>
            <w:r w:rsidRPr="00032AD9">
              <w:rPr>
                <w:rFonts w:ascii="Times New Roman" w:hAnsi="Times New Roman" w:cs="Times New Roman"/>
                <w:lang w:val="sr-Cyrl"/>
              </w:rPr>
              <w:t>Ниво интеграције је низак, а дисциплине раде паралелно.</w:t>
            </w:r>
          </w:p>
        </w:tc>
        <w:tc>
          <w:tcPr>
            <w:tcW w:w="616" w:type="dxa"/>
          </w:tcPr>
          <w:p w14:paraId="4C73E2A1" w14:textId="77777777" w:rsidR="00F343D3" w:rsidRPr="00032AD9" w:rsidRDefault="00F343D3" w:rsidP="00A655ED">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32, 37</w:t>
            </w:r>
          </w:p>
        </w:tc>
      </w:tr>
      <w:tr w:rsidR="00F343D3" w:rsidRPr="00032AD9" w14:paraId="0A6D73B1" w14:textId="77777777" w:rsidTr="2C6C7817">
        <w:tc>
          <w:tcPr>
            <w:tcW w:w="2062" w:type="dxa"/>
          </w:tcPr>
          <w:p w14:paraId="283583C8" w14:textId="77777777" w:rsidR="00F343D3" w:rsidRPr="00032AD9" w:rsidRDefault="00F343D3" w:rsidP="00A655ED">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Приступачност</w:t>
            </w:r>
          </w:p>
        </w:tc>
        <w:tc>
          <w:tcPr>
            <w:tcW w:w="1469" w:type="dxa"/>
          </w:tcPr>
          <w:p w14:paraId="280D69B9" w14:textId="77777777" w:rsidR="00F343D3" w:rsidRPr="00032AD9" w:rsidRDefault="00F343D3" w:rsidP="00A655ED">
            <w:pPr>
              <w:jc w:val="both"/>
              <w:rPr>
                <w:rFonts w:ascii="Times New Roman" w:hAnsi="Times New Roman" w:cs="Times New Roman"/>
                <w:lang w:val="en-GB"/>
              </w:rPr>
            </w:pPr>
          </w:p>
        </w:tc>
        <w:tc>
          <w:tcPr>
            <w:tcW w:w="5615" w:type="dxa"/>
          </w:tcPr>
          <w:p w14:paraId="259D9E6C"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lang w:val="sr-Cyrl"/>
              </w:rPr>
              <w:t>Пројектовање производа, уређаја, услуга или средине за људе са инвалидитетом. Обухвата лакоћу с којом појединци могу приступити и искористити разне ресурсе, укључујући физички простор, дигитални садржај и информативне услуге. Приступачност иза за циљ да осигура да сви појединци, без обзира на њихове способности или инвалидитет, имају једнаку могућност учешћа у друштву. У ширем смислу, обухвата коришћење средине и услуга од стране људи са различитим потребама. Овај концепт је кључан у разним пољима попут архитектуре, веб дизајна, образовања и јавне политике.</w:t>
            </w:r>
          </w:p>
        </w:tc>
        <w:tc>
          <w:tcPr>
            <w:tcW w:w="616" w:type="dxa"/>
          </w:tcPr>
          <w:p w14:paraId="2AD36243" w14:textId="77777777" w:rsidR="00F343D3" w:rsidRPr="00032AD9" w:rsidRDefault="00F343D3" w:rsidP="00A655ED">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30</w:t>
            </w:r>
          </w:p>
        </w:tc>
      </w:tr>
      <w:tr w:rsidR="00F343D3" w:rsidRPr="00032AD9" w14:paraId="46BAF6C4" w14:textId="77777777" w:rsidTr="2C6C7817">
        <w:tc>
          <w:tcPr>
            <w:tcW w:w="2062" w:type="dxa"/>
          </w:tcPr>
          <w:p w14:paraId="23FC0E7E" w14:textId="77777777" w:rsidR="00F343D3" w:rsidRPr="00032AD9" w:rsidRDefault="00F343D3" w:rsidP="00A655ED">
            <w:pPr>
              <w:rPr>
                <w:rFonts w:ascii="Times New Roman" w:hAnsi="Times New Roman" w:cs="Times New Roman"/>
                <w:b/>
                <w:color w:val="BF4E14" w:themeColor="accent2" w:themeShade="BF"/>
                <w:lang w:val="en-GB"/>
              </w:rPr>
            </w:pPr>
            <w:r w:rsidRPr="00032AD9">
              <w:rPr>
                <w:rFonts w:ascii="Times New Roman" w:hAnsi="Times New Roman" w:cs="Times New Roman"/>
                <w:b/>
                <w:color w:val="3A7C22" w:themeColor="accent6" w:themeShade="BF"/>
                <w:lang w:val="sr-Cyrl"/>
              </w:rPr>
              <w:t>Регенеративни узгој</w:t>
            </w:r>
          </w:p>
        </w:tc>
        <w:tc>
          <w:tcPr>
            <w:tcW w:w="1469" w:type="dxa"/>
          </w:tcPr>
          <w:p w14:paraId="17C4AC4D" w14:textId="77777777" w:rsidR="00F343D3" w:rsidRPr="00032AD9" w:rsidRDefault="00F343D3" w:rsidP="00A655ED">
            <w:pPr>
              <w:jc w:val="both"/>
              <w:rPr>
                <w:rFonts w:ascii="Times New Roman" w:hAnsi="Times New Roman" w:cs="Times New Roman"/>
                <w:lang w:val="en-GB"/>
              </w:rPr>
            </w:pPr>
          </w:p>
        </w:tc>
        <w:tc>
          <w:tcPr>
            <w:tcW w:w="5615" w:type="dxa"/>
          </w:tcPr>
          <w:p w14:paraId="6F12C61C"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lang w:val="sr-Cyrl"/>
              </w:rPr>
              <w:t>Приступ узгоју и управљању земљиштем заснован на научним подацима који се фокусира на враћање и унапређење здравља земљишта, биодиверзитета и функција екосистема, истовремено унапређујући пољопривредну продуктивност и резилијенцију. Користи праксу којом се активно регенеришу деградирана земљишта и екосистеми, стварајући тако позитиван круг повратних информација од кога корист има и животна средина и пољопривредни системи. Наглашава међуповезаност земљишта, биљака, животиња и људи, у циљу креирања циклуса регенерације који побољшава услуге екосистема и помаже у дугорочној пољопривредној одрживости.</w:t>
            </w:r>
          </w:p>
        </w:tc>
        <w:tc>
          <w:tcPr>
            <w:tcW w:w="616" w:type="dxa"/>
          </w:tcPr>
          <w:p w14:paraId="3E470C98" w14:textId="77777777" w:rsidR="00F343D3" w:rsidRPr="00032AD9" w:rsidRDefault="00F343D3" w:rsidP="00A655ED">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1, 41</w:t>
            </w:r>
          </w:p>
        </w:tc>
      </w:tr>
      <w:tr w:rsidR="00F343D3" w:rsidRPr="00032AD9" w14:paraId="37F34BD3" w14:textId="77777777" w:rsidTr="2C6C7817">
        <w:tc>
          <w:tcPr>
            <w:tcW w:w="2062" w:type="dxa"/>
          </w:tcPr>
          <w:p w14:paraId="0D9984FD"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Редукција</w:t>
            </w:r>
          </w:p>
        </w:tc>
        <w:tc>
          <w:tcPr>
            <w:tcW w:w="1469" w:type="dxa"/>
          </w:tcPr>
          <w:p w14:paraId="558F91D6" w14:textId="77777777" w:rsidR="00F343D3" w:rsidRPr="00032AD9" w:rsidRDefault="00F343D3" w:rsidP="00525540">
            <w:pPr>
              <w:jc w:val="both"/>
              <w:rPr>
                <w:rFonts w:ascii="Times New Roman" w:hAnsi="Times New Roman" w:cs="Times New Roman"/>
                <w:lang w:val="en-GB"/>
              </w:rPr>
            </w:pPr>
          </w:p>
        </w:tc>
        <w:tc>
          <w:tcPr>
            <w:tcW w:w="5615" w:type="dxa"/>
          </w:tcPr>
          <w:p w14:paraId="7FDA93DB"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Додавање хидрогена, уклањање кисеоника или додавање електрона елементу или једињењу. У анаеробним редокс условима (где нема раствореног кисеоника), као што је случај у глејним земљиштима, сумпорна једињења се редукују у водоник-сулфид који производи непријатан мирис (H</w:t>
            </w:r>
            <w:r w:rsidRPr="00032AD9">
              <w:rPr>
                <w:rFonts w:ascii="Times New Roman" w:hAnsi="Times New Roman" w:cs="Times New Roman"/>
                <w:vertAlign w:val="subscript"/>
                <w:lang w:val="sr-Cyrl"/>
              </w:rPr>
              <w:t>2</w:t>
            </w:r>
            <w:r w:rsidRPr="00032AD9">
              <w:rPr>
                <w:rFonts w:ascii="Times New Roman" w:hAnsi="Times New Roman" w:cs="Times New Roman"/>
                <w:lang w:val="sr-Cyrl"/>
              </w:rPr>
              <w:t>S) и друга једињења. Редукција је супротна оксидацији.</w:t>
            </w:r>
          </w:p>
        </w:tc>
        <w:tc>
          <w:tcPr>
            <w:tcW w:w="616" w:type="dxa"/>
          </w:tcPr>
          <w:p w14:paraId="7F6745F2"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w:t>
            </w:r>
          </w:p>
        </w:tc>
      </w:tr>
      <w:tr w:rsidR="00F343D3" w:rsidRPr="00032AD9" w14:paraId="49A038C0" w14:textId="77777777" w:rsidTr="2C6C7817">
        <w:tc>
          <w:tcPr>
            <w:tcW w:w="2062" w:type="dxa"/>
          </w:tcPr>
          <w:p w14:paraId="0BB0C1AF"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Резилијенција</w:t>
            </w:r>
          </w:p>
        </w:tc>
        <w:tc>
          <w:tcPr>
            <w:tcW w:w="1469" w:type="dxa"/>
          </w:tcPr>
          <w:p w14:paraId="17031CDC" w14:textId="77777777" w:rsidR="00F343D3" w:rsidRPr="00032AD9" w:rsidRDefault="00F343D3" w:rsidP="00525540">
            <w:pPr>
              <w:jc w:val="both"/>
              <w:rPr>
                <w:rFonts w:ascii="Times New Roman" w:hAnsi="Times New Roman" w:cs="Times New Roman"/>
                <w:lang w:val="en-GB"/>
              </w:rPr>
            </w:pPr>
          </w:p>
        </w:tc>
        <w:tc>
          <w:tcPr>
            <w:tcW w:w="5615" w:type="dxa"/>
          </w:tcPr>
          <w:p w14:paraId="6D76E5EE"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Способност система и његових саставних делова да предвиди, апсорбује, прихвати или се опорави од ефеката штетног догађаја на благовремен и ефикасан начин, укључујући и осигуравање опстанка, повраћаја или унапређења своје основне структуре и функције.</w:t>
            </w:r>
          </w:p>
        </w:tc>
        <w:tc>
          <w:tcPr>
            <w:tcW w:w="616" w:type="dxa"/>
          </w:tcPr>
          <w:p w14:paraId="055FDCA4"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1</w:t>
            </w:r>
          </w:p>
        </w:tc>
      </w:tr>
      <w:tr w:rsidR="00F343D3" w:rsidRPr="00032AD9" w14:paraId="6C095DDA" w14:textId="77777777" w:rsidTr="2C6C7817">
        <w:tc>
          <w:tcPr>
            <w:tcW w:w="2062" w:type="dxa"/>
          </w:tcPr>
          <w:p w14:paraId="22ADE7EE"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Сабијање земљишта</w:t>
            </w:r>
          </w:p>
        </w:tc>
        <w:tc>
          <w:tcPr>
            <w:tcW w:w="1469" w:type="dxa"/>
          </w:tcPr>
          <w:p w14:paraId="04A7688F" w14:textId="77777777" w:rsidR="00F343D3" w:rsidRPr="00032AD9" w:rsidRDefault="00F343D3" w:rsidP="00525540">
            <w:pPr>
              <w:jc w:val="both"/>
              <w:rPr>
                <w:rFonts w:ascii="Times New Roman" w:hAnsi="Times New Roman" w:cs="Times New Roman"/>
                <w:lang w:val="en-GB"/>
              </w:rPr>
            </w:pPr>
          </w:p>
        </w:tc>
        <w:tc>
          <w:tcPr>
            <w:tcW w:w="5615" w:type="dxa"/>
          </w:tcPr>
          <w:p w14:paraId="2562FA49" w14:textId="77777777" w:rsidR="00F343D3" w:rsidRPr="00F343D3" w:rsidRDefault="00F343D3" w:rsidP="00525540">
            <w:pPr>
              <w:jc w:val="both"/>
              <w:rPr>
                <w:rFonts w:ascii="Times New Roman" w:hAnsi="Times New Roman" w:cs="Times New Roman"/>
                <w:lang w:val="sr-Cyrl"/>
              </w:rPr>
            </w:pPr>
            <w:r w:rsidRPr="00032AD9">
              <w:rPr>
                <w:rFonts w:ascii="Times New Roman" w:hAnsi="Times New Roman" w:cs="Times New Roman"/>
                <w:lang w:val="sr-Cyrl"/>
              </w:rPr>
              <w:t xml:space="preserve">Промена природе земљишта на начин да дође до смањења запремине пора између честица земљишта или агрегата. Манифестује се повећањем запреминске густине, а озбиљно сабијено земљиште може постати значајно мање пропусно и мање проветрено. Сабијање земљишта услед људске активности узроковано је криволовом (континуираним гажењем по траговима животиња) или проласком тешке машинерије. Други типични примери су „плужни слој“ (плужни ђон или саобраћајни слој) који се </w:t>
            </w:r>
            <w:r w:rsidRPr="00032AD9">
              <w:rPr>
                <w:rFonts w:ascii="Times New Roman" w:hAnsi="Times New Roman" w:cs="Times New Roman"/>
                <w:lang w:val="sr-Cyrl"/>
              </w:rPr>
              <w:lastRenderedPageBreak/>
              <w:t>може формирати због орања и који може негативно утицати на развој корена и одводњавање.</w:t>
            </w:r>
          </w:p>
        </w:tc>
        <w:tc>
          <w:tcPr>
            <w:tcW w:w="616" w:type="dxa"/>
          </w:tcPr>
          <w:p w14:paraId="61288F2B"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lastRenderedPageBreak/>
              <w:t>4</w:t>
            </w:r>
          </w:p>
        </w:tc>
      </w:tr>
      <w:tr w:rsidR="00F343D3" w:rsidRPr="00032AD9" w14:paraId="18A94240" w14:textId="77777777" w:rsidTr="2C6C7817">
        <w:tc>
          <w:tcPr>
            <w:tcW w:w="2062" w:type="dxa"/>
          </w:tcPr>
          <w:p w14:paraId="3E62705A"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Салинизација</w:t>
            </w:r>
          </w:p>
        </w:tc>
        <w:tc>
          <w:tcPr>
            <w:tcW w:w="1469" w:type="dxa"/>
          </w:tcPr>
          <w:p w14:paraId="617D05C9" w14:textId="77777777" w:rsidR="00F343D3" w:rsidRPr="00032AD9" w:rsidRDefault="00F343D3" w:rsidP="00525540">
            <w:pPr>
              <w:jc w:val="both"/>
              <w:rPr>
                <w:rFonts w:ascii="Times New Roman" w:hAnsi="Times New Roman" w:cs="Times New Roman"/>
                <w:lang w:val="en-GB"/>
              </w:rPr>
            </w:pPr>
          </w:p>
        </w:tc>
        <w:tc>
          <w:tcPr>
            <w:tcW w:w="5615" w:type="dxa"/>
          </w:tcPr>
          <w:p w14:paraId="1453C8BD" w14:textId="77777777" w:rsidR="00F343D3" w:rsidRPr="00032AD9" w:rsidRDefault="00F343D3" w:rsidP="00525540">
            <w:pPr>
              <w:jc w:val="both"/>
              <w:rPr>
                <w:rFonts w:ascii="Times New Roman" w:hAnsi="Times New Roman" w:cs="Times New Roman"/>
                <w:lang w:val="en-GB"/>
              </w:rPr>
            </w:pPr>
            <w:bookmarkStart w:id="2" w:name="_Hlk187700189"/>
            <w:r w:rsidRPr="00032AD9">
              <w:rPr>
                <w:rFonts w:ascii="Times New Roman" w:hAnsi="Times New Roman" w:cs="Times New Roman"/>
                <w:lang w:val="sr-Cyrl"/>
              </w:rPr>
              <w:t>Акумулација растворљиве соли (растворљивије од гипса) у горњим слојевима земљишта (слано земљиште = земљиште које садржи довољно растворљиве соли да негативно утиче на већину усева, обично 4000 μS m</w:t>
            </w:r>
            <w:r w:rsidRPr="00032AD9">
              <w:rPr>
                <w:rFonts w:ascii="Times New Roman" w:hAnsi="Times New Roman" w:cs="Times New Roman"/>
                <w:vertAlign w:val="superscript"/>
                <w:lang w:val="sr-Cyrl"/>
              </w:rPr>
              <w:t>-1</w:t>
            </w:r>
            <w:r w:rsidRPr="00032AD9">
              <w:rPr>
                <w:rFonts w:ascii="Times New Roman" w:hAnsi="Times New Roman" w:cs="Times New Roman"/>
                <w:lang w:val="sr-Cyrl"/>
              </w:rPr>
              <w:t>).</w:t>
            </w:r>
            <w:bookmarkEnd w:id="2"/>
          </w:p>
        </w:tc>
        <w:tc>
          <w:tcPr>
            <w:tcW w:w="616" w:type="dxa"/>
          </w:tcPr>
          <w:p w14:paraId="6D48B088"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w:t>
            </w:r>
          </w:p>
        </w:tc>
      </w:tr>
      <w:tr w:rsidR="00F343D3" w:rsidRPr="00032AD9" w14:paraId="31712D58" w14:textId="77777777" w:rsidTr="2C6C7817">
        <w:tc>
          <w:tcPr>
            <w:tcW w:w="2062" w:type="dxa"/>
          </w:tcPr>
          <w:p w14:paraId="305F5A02" w14:textId="77777777" w:rsidR="00F343D3" w:rsidRPr="00F343D3" w:rsidRDefault="00F343D3" w:rsidP="002A67F8">
            <w:pPr>
              <w:rPr>
                <w:rFonts w:ascii="Times New Roman" w:hAnsi="Times New Roman" w:cs="Times New Roman"/>
                <w:b/>
                <w:color w:val="D86DCB" w:themeColor="accent5" w:themeTint="99"/>
                <w:lang w:val="es-ES"/>
              </w:rPr>
            </w:pPr>
            <w:r w:rsidRPr="00032AD9">
              <w:rPr>
                <w:rFonts w:ascii="Times New Roman" w:hAnsi="Times New Roman" w:cs="Times New Roman"/>
                <w:b/>
                <w:color w:val="3A7C22" w:themeColor="accent6" w:themeShade="BF"/>
                <w:lang w:val="sr-Cyrl"/>
              </w:rPr>
              <w:t>Секвестрација угљеника од стране земљишта</w:t>
            </w:r>
          </w:p>
        </w:tc>
        <w:tc>
          <w:tcPr>
            <w:tcW w:w="1469" w:type="dxa"/>
          </w:tcPr>
          <w:p w14:paraId="550CC083" w14:textId="77777777" w:rsidR="00F343D3" w:rsidRPr="00F343D3" w:rsidRDefault="00F343D3" w:rsidP="00525540">
            <w:pPr>
              <w:jc w:val="both"/>
              <w:rPr>
                <w:rFonts w:ascii="Times New Roman" w:hAnsi="Times New Roman" w:cs="Times New Roman"/>
                <w:lang w:val="es-ES"/>
              </w:rPr>
            </w:pPr>
          </w:p>
        </w:tc>
        <w:tc>
          <w:tcPr>
            <w:tcW w:w="5615" w:type="dxa"/>
          </w:tcPr>
          <w:p w14:paraId="65424DDC" w14:textId="77777777" w:rsidR="00F343D3" w:rsidRPr="00F343D3" w:rsidRDefault="00F343D3" w:rsidP="00525540">
            <w:pPr>
              <w:jc w:val="both"/>
              <w:rPr>
                <w:rFonts w:ascii="Times New Roman" w:hAnsi="Times New Roman" w:cs="Times New Roman"/>
                <w:lang w:val="es-ES"/>
              </w:rPr>
            </w:pPr>
            <w:r w:rsidRPr="00032AD9">
              <w:rPr>
                <w:rFonts w:ascii="Times New Roman" w:hAnsi="Times New Roman" w:cs="Times New Roman"/>
                <w:lang w:val="sr-Cyrl"/>
              </w:rPr>
              <w:t>Способност земљишта да чува угљеник у облику који није лабилан а у циљу смањења концентрације CO</w:t>
            </w:r>
            <w:r w:rsidRPr="00032AD9">
              <w:rPr>
                <w:rFonts w:ascii="Times New Roman" w:hAnsi="Times New Roman" w:cs="Times New Roman"/>
                <w:vertAlign w:val="subscript"/>
                <w:lang w:val="sr-Cyrl"/>
              </w:rPr>
              <w:t>2</w:t>
            </w:r>
            <w:r w:rsidRPr="00032AD9">
              <w:rPr>
                <w:rFonts w:ascii="Times New Roman" w:hAnsi="Times New Roman" w:cs="Times New Roman"/>
                <w:lang w:val="sr-Cyrl"/>
              </w:rPr>
              <w:t xml:space="preserve"> у атмосфери.</w:t>
            </w:r>
          </w:p>
        </w:tc>
        <w:tc>
          <w:tcPr>
            <w:tcW w:w="616" w:type="dxa"/>
          </w:tcPr>
          <w:p w14:paraId="3BB1DCD2"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w:t>
            </w:r>
          </w:p>
        </w:tc>
      </w:tr>
      <w:tr w:rsidR="00F343D3" w:rsidRPr="00032AD9" w14:paraId="0EC62A84" w14:textId="77777777" w:rsidTr="2C6C7817">
        <w:tc>
          <w:tcPr>
            <w:tcW w:w="2062" w:type="dxa"/>
          </w:tcPr>
          <w:p w14:paraId="5DE566A1"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Способност земљишта</w:t>
            </w:r>
          </w:p>
        </w:tc>
        <w:tc>
          <w:tcPr>
            <w:tcW w:w="1469" w:type="dxa"/>
          </w:tcPr>
          <w:p w14:paraId="449F0A47" w14:textId="77777777" w:rsidR="00F343D3" w:rsidRPr="00032AD9" w:rsidRDefault="00F343D3" w:rsidP="00525540">
            <w:pPr>
              <w:jc w:val="both"/>
              <w:rPr>
                <w:rFonts w:ascii="Times New Roman" w:hAnsi="Times New Roman" w:cs="Times New Roman"/>
                <w:lang w:val="en-GB"/>
              </w:rPr>
            </w:pPr>
          </w:p>
        </w:tc>
        <w:tc>
          <w:tcPr>
            <w:tcW w:w="5615" w:type="dxa"/>
          </w:tcPr>
          <w:p w14:paraId="245A0CD4"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Природна способност земљишта да испуни функције земљишта.</w:t>
            </w:r>
          </w:p>
        </w:tc>
        <w:tc>
          <w:tcPr>
            <w:tcW w:w="616" w:type="dxa"/>
          </w:tcPr>
          <w:p w14:paraId="2DAADBFC"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2</w:t>
            </w:r>
          </w:p>
        </w:tc>
      </w:tr>
      <w:tr w:rsidR="00F343D3" w:rsidRPr="00032AD9" w14:paraId="4FB937FF" w14:textId="77777777" w:rsidTr="2C6C7817">
        <w:tc>
          <w:tcPr>
            <w:tcW w:w="2062" w:type="dxa"/>
          </w:tcPr>
          <w:p w14:paraId="6359C6DE"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Стајњак</w:t>
            </w:r>
          </w:p>
        </w:tc>
        <w:tc>
          <w:tcPr>
            <w:tcW w:w="1469" w:type="dxa"/>
          </w:tcPr>
          <w:p w14:paraId="062F2657" w14:textId="77777777" w:rsidR="00F343D3" w:rsidRPr="00032AD9" w:rsidRDefault="00F343D3" w:rsidP="00525540">
            <w:pPr>
              <w:jc w:val="both"/>
              <w:rPr>
                <w:rFonts w:ascii="Times New Roman" w:hAnsi="Times New Roman" w:cs="Times New Roman"/>
                <w:lang w:val="en-GB"/>
              </w:rPr>
            </w:pPr>
          </w:p>
        </w:tc>
        <w:tc>
          <w:tcPr>
            <w:tcW w:w="5615" w:type="dxa"/>
          </w:tcPr>
          <w:p w14:paraId="59DE9C77"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Стајњак је врста ђубрива које се састоји од измета стоке, било у чистом облику или у комбинацији са подлогом.</w:t>
            </w:r>
          </w:p>
        </w:tc>
        <w:tc>
          <w:tcPr>
            <w:tcW w:w="616" w:type="dxa"/>
          </w:tcPr>
          <w:p w14:paraId="4C25584C"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1</w:t>
            </w:r>
          </w:p>
        </w:tc>
      </w:tr>
      <w:tr w:rsidR="00F343D3" w:rsidRPr="00032AD9" w14:paraId="53D7871B" w14:textId="77777777" w:rsidTr="2C6C7817">
        <w:tc>
          <w:tcPr>
            <w:tcW w:w="2062" w:type="dxa"/>
          </w:tcPr>
          <w:p w14:paraId="0FA60A0E" w14:textId="77777777" w:rsidR="00F343D3" w:rsidRPr="00032AD9" w:rsidRDefault="00F343D3" w:rsidP="00A655ED">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Тип земљишта</w:t>
            </w:r>
          </w:p>
        </w:tc>
        <w:tc>
          <w:tcPr>
            <w:tcW w:w="1469" w:type="dxa"/>
          </w:tcPr>
          <w:p w14:paraId="6FDC7B72" w14:textId="77777777" w:rsidR="00F343D3" w:rsidRPr="00032AD9" w:rsidRDefault="00F343D3" w:rsidP="00A655ED">
            <w:pPr>
              <w:jc w:val="both"/>
              <w:rPr>
                <w:rFonts w:ascii="Times New Roman" w:hAnsi="Times New Roman" w:cs="Times New Roman"/>
                <w:lang w:val="en-GB"/>
              </w:rPr>
            </w:pPr>
          </w:p>
        </w:tc>
        <w:tc>
          <w:tcPr>
            <w:tcW w:w="5615" w:type="dxa"/>
          </w:tcPr>
          <w:p w14:paraId="7878C5BD"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lang w:val="sr-Cyrl"/>
              </w:rPr>
              <w:t>Тип земљишта је концептуална и веома генерализована јединица која се користи у науци о земљишту и у многим системима класификације земљишта. Тип земљишта се углавном дефинише на бази карактеристика које резултирају из процеса формирања земљишта (педогенеза). Земљишта која имају одређен редослед генетских хоризоната и одређена својства формирају одређени тип земљишта.</w:t>
            </w:r>
          </w:p>
        </w:tc>
        <w:tc>
          <w:tcPr>
            <w:tcW w:w="616" w:type="dxa"/>
          </w:tcPr>
          <w:p w14:paraId="4C46D148" w14:textId="77777777" w:rsidR="00F343D3" w:rsidRPr="00032AD9" w:rsidRDefault="00F343D3" w:rsidP="00A655ED">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16</w:t>
            </w:r>
          </w:p>
        </w:tc>
      </w:tr>
      <w:tr w:rsidR="00F343D3" w:rsidRPr="00032AD9" w14:paraId="41FFF56E" w14:textId="77777777" w:rsidTr="2C6C7817">
        <w:tc>
          <w:tcPr>
            <w:tcW w:w="2062" w:type="dxa"/>
          </w:tcPr>
          <w:p w14:paraId="0E66E962" w14:textId="77777777" w:rsidR="00F343D3" w:rsidRPr="00032AD9" w:rsidRDefault="00F343D3" w:rsidP="00A655ED">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Трансдисциплинарност</w:t>
            </w:r>
          </w:p>
        </w:tc>
        <w:tc>
          <w:tcPr>
            <w:tcW w:w="1469" w:type="dxa"/>
          </w:tcPr>
          <w:p w14:paraId="1D140E86" w14:textId="77777777" w:rsidR="00F343D3" w:rsidRPr="00032AD9" w:rsidRDefault="00F343D3" w:rsidP="00A655ED">
            <w:pPr>
              <w:jc w:val="both"/>
              <w:rPr>
                <w:rFonts w:ascii="Times New Roman" w:hAnsi="Times New Roman" w:cs="Times New Roman"/>
                <w:color w:val="3A7C22" w:themeColor="accent6" w:themeShade="BF"/>
                <w:lang w:val="en-GB"/>
              </w:rPr>
            </w:pPr>
          </w:p>
        </w:tc>
        <w:tc>
          <w:tcPr>
            <w:tcW w:w="5615" w:type="dxa"/>
          </w:tcPr>
          <w:p w14:paraId="257DEDD1"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lang w:val="sr-Cyrl"/>
              </w:rPr>
              <w:t>Обухвата знање разних дисциплина и неакадемске изворе да би се одговорило на сложене проблеме, уз фокус на сарадњи на свим пољима. Приступ истраживању који користи знање из разних академских дисциплина и обухвата сарадњу с неакадемским актерима како би се одговорило на сложене изазове друштва.</w:t>
            </w:r>
            <w:r w:rsidRPr="00032AD9">
              <w:rPr>
                <w:lang w:val="sr-Cyrl"/>
              </w:rPr>
              <w:t xml:space="preserve"> </w:t>
            </w:r>
            <w:r w:rsidRPr="00032AD9">
              <w:rPr>
                <w:rFonts w:ascii="Times New Roman" w:hAnsi="Times New Roman" w:cs="Times New Roman"/>
                <w:lang w:val="sr-Cyrl"/>
              </w:rPr>
              <w:t>Наглашава међуповезаност разних области и има за циљ креирање холистичких решења комбиновањем различитих перспектива и стручности из разних дисциплина. Ниво интеграције је висок, а дисциплине и актери раде заједно.</w:t>
            </w:r>
          </w:p>
        </w:tc>
        <w:tc>
          <w:tcPr>
            <w:tcW w:w="616" w:type="dxa"/>
          </w:tcPr>
          <w:p w14:paraId="6B193B2C" w14:textId="77777777" w:rsidR="00F343D3" w:rsidRPr="00032AD9" w:rsidRDefault="00F343D3" w:rsidP="00A655ED">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31, 36</w:t>
            </w:r>
          </w:p>
        </w:tc>
      </w:tr>
      <w:tr w:rsidR="00F343D3" w:rsidRPr="00032AD9" w14:paraId="15DF9A5B" w14:textId="77777777" w:rsidTr="2C6C7817">
        <w:tc>
          <w:tcPr>
            <w:tcW w:w="2062" w:type="dxa"/>
          </w:tcPr>
          <w:p w14:paraId="13774CEA"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Угар</w:t>
            </w:r>
          </w:p>
        </w:tc>
        <w:tc>
          <w:tcPr>
            <w:tcW w:w="1469" w:type="dxa"/>
          </w:tcPr>
          <w:p w14:paraId="62CE5937" w14:textId="77777777" w:rsidR="00F343D3" w:rsidRPr="00032AD9" w:rsidRDefault="00F343D3" w:rsidP="002A67F8">
            <w:pPr>
              <w:jc w:val="both"/>
              <w:rPr>
                <w:rFonts w:ascii="Times New Roman" w:hAnsi="Times New Roman" w:cs="Times New Roman"/>
                <w:lang w:val="en-GB"/>
              </w:rPr>
            </w:pPr>
          </w:p>
        </w:tc>
        <w:tc>
          <w:tcPr>
            <w:tcW w:w="5615" w:type="dxa"/>
          </w:tcPr>
          <w:p w14:paraId="21417344" w14:textId="77777777" w:rsidR="00F343D3" w:rsidRPr="00032AD9" w:rsidRDefault="00F343D3" w:rsidP="002A67F8">
            <w:pPr>
              <w:jc w:val="both"/>
              <w:rPr>
                <w:rFonts w:ascii="Times New Roman" w:hAnsi="Times New Roman" w:cs="Times New Roman"/>
                <w:lang w:val="sr-Cyrl"/>
              </w:rPr>
            </w:pPr>
            <w:r w:rsidRPr="00032AD9">
              <w:rPr>
                <w:rFonts w:ascii="Times New Roman" w:hAnsi="Times New Roman" w:cs="Times New Roman"/>
                <w:lang w:val="sr-Cyrl"/>
              </w:rPr>
              <w:t>Земљиште остављено необрађено како би се вратила његова продуктивност кроз прикупљање влаге и органске материје. Летњи угар је чест у регијама са ограниченим падавинама где се узгајају житарице. Земљиште се оре најмање једну сезону узгоја ради контроле корова и разградње остатака биљака.</w:t>
            </w:r>
          </w:p>
        </w:tc>
        <w:tc>
          <w:tcPr>
            <w:tcW w:w="616" w:type="dxa"/>
          </w:tcPr>
          <w:p w14:paraId="66EFBAD6"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w:t>
            </w:r>
          </w:p>
        </w:tc>
      </w:tr>
      <w:tr w:rsidR="00F343D3" w:rsidRPr="00032AD9" w14:paraId="7E38971B" w14:textId="77777777" w:rsidTr="2C6C7817">
        <w:tc>
          <w:tcPr>
            <w:tcW w:w="2062" w:type="dxa"/>
          </w:tcPr>
          <w:p w14:paraId="3E315D24"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Управљање угљеником у земљишту</w:t>
            </w:r>
          </w:p>
        </w:tc>
        <w:tc>
          <w:tcPr>
            <w:tcW w:w="1469" w:type="dxa"/>
          </w:tcPr>
          <w:p w14:paraId="06CEFDE1" w14:textId="77777777" w:rsidR="00F343D3" w:rsidRPr="00032AD9" w:rsidRDefault="00F343D3" w:rsidP="002A67F8">
            <w:pPr>
              <w:jc w:val="both"/>
              <w:rPr>
                <w:rFonts w:ascii="Times New Roman" w:hAnsi="Times New Roman" w:cs="Times New Roman"/>
                <w:lang w:val="en-GB"/>
              </w:rPr>
            </w:pPr>
          </w:p>
        </w:tc>
        <w:tc>
          <w:tcPr>
            <w:tcW w:w="5615" w:type="dxa"/>
          </w:tcPr>
          <w:p w14:paraId="4DEE655F" w14:textId="77777777" w:rsidR="00F343D3" w:rsidRPr="00032AD9" w:rsidRDefault="00F343D3" w:rsidP="006A5BAB">
            <w:pPr>
              <w:jc w:val="both"/>
              <w:rPr>
                <w:rFonts w:ascii="Times New Roman" w:hAnsi="Times New Roman" w:cs="Times New Roman"/>
                <w:lang w:val="sr-Cyrl"/>
              </w:rPr>
            </w:pPr>
            <w:r w:rsidRPr="00032AD9" w:rsidDel="006A5BAB">
              <w:rPr>
                <w:rFonts w:ascii="Times New Roman" w:hAnsi="Times New Roman" w:cs="Times New Roman"/>
                <w:lang w:val="sr-Cyrl"/>
              </w:rPr>
              <w:t xml:space="preserve"> Пракса и стратегије које за циљ имају одржавање или повећавање количине угљеника која се налази у земљишту, пре свега у облику органске материје. Овај процес је од кључног значаја за унапређење здравља земљишта, повећање пољопривредне продуктивности и ублажавање климатских промена секвестрацијом атмосферског угљен-диоксида (CO₂). Управљање угљеником у земљишту повећава плодност земљишта, задржавање воде и биодиверзитет, а доприноси и ублажавању последица климатских промена јер везује и складишти CO₂. Оно игра кључну улогу у одрживој пољопривреди и отпорности екосистема.</w:t>
            </w:r>
          </w:p>
          <w:p w14:paraId="4DB3D609" w14:textId="77777777" w:rsidR="00F343D3" w:rsidRPr="00032AD9" w:rsidRDefault="00F343D3" w:rsidP="006A5BAB">
            <w:pPr>
              <w:jc w:val="both"/>
              <w:rPr>
                <w:rFonts w:ascii="Times New Roman" w:hAnsi="Times New Roman" w:cs="Times New Roman"/>
                <w:lang w:val="sr-Cyrl"/>
              </w:rPr>
            </w:pPr>
            <w:r w:rsidRPr="00032AD9">
              <w:rPr>
                <w:rFonts w:ascii="Times New Roman" w:hAnsi="Times New Roman" w:cs="Times New Roman"/>
                <w:lang w:val="sr-Cyrl"/>
              </w:rPr>
              <w:t>Кључне активности у управљању угљеником у земљишту обухватају конзервациону обраду земљишта, ротирање и диверзификацију усева, покровне усеве, агрошумарство и обнову деградираних земљишта.</w:t>
            </w:r>
          </w:p>
        </w:tc>
        <w:tc>
          <w:tcPr>
            <w:tcW w:w="616" w:type="dxa"/>
          </w:tcPr>
          <w:p w14:paraId="07270006"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2, 40</w:t>
            </w:r>
          </w:p>
        </w:tc>
      </w:tr>
      <w:tr w:rsidR="00F343D3" w:rsidRPr="00032AD9" w14:paraId="4334BE38" w14:textId="77777777" w:rsidTr="2C6C7817">
        <w:tc>
          <w:tcPr>
            <w:tcW w:w="2062" w:type="dxa"/>
          </w:tcPr>
          <w:p w14:paraId="5C09D819"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Услови земљишта</w:t>
            </w:r>
          </w:p>
        </w:tc>
        <w:tc>
          <w:tcPr>
            <w:tcW w:w="1469" w:type="dxa"/>
          </w:tcPr>
          <w:p w14:paraId="00B42980" w14:textId="77777777" w:rsidR="00F343D3" w:rsidRPr="00032AD9" w:rsidRDefault="00F343D3" w:rsidP="00525540">
            <w:pPr>
              <w:jc w:val="both"/>
              <w:rPr>
                <w:rFonts w:ascii="Times New Roman" w:hAnsi="Times New Roman" w:cs="Times New Roman"/>
                <w:lang w:val="en-GB"/>
              </w:rPr>
            </w:pPr>
          </w:p>
        </w:tc>
        <w:tc>
          <w:tcPr>
            <w:tcW w:w="5615" w:type="dxa"/>
          </w:tcPr>
          <w:p w14:paraId="1AA8D4FD"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 xml:space="preserve">Услови земљишта се односе на стање земљишта, које обухвата његове физичке, хемијске и биолошке </w:t>
            </w:r>
            <w:r w:rsidRPr="00032AD9">
              <w:rPr>
                <w:rFonts w:ascii="Times New Roman" w:hAnsi="Times New Roman" w:cs="Times New Roman"/>
                <w:lang w:val="sr-Cyrl"/>
              </w:rPr>
              <w:lastRenderedPageBreak/>
              <w:t>карактеристике и процесе и интеракције који их повезују, што опет одређује капацитет земљишта да подржи услуге екосистема.</w:t>
            </w:r>
          </w:p>
        </w:tc>
        <w:tc>
          <w:tcPr>
            <w:tcW w:w="616" w:type="dxa"/>
          </w:tcPr>
          <w:p w14:paraId="59FFBE4F"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lastRenderedPageBreak/>
              <w:t>2</w:t>
            </w:r>
          </w:p>
        </w:tc>
      </w:tr>
      <w:tr w:rsidR="00F343D3" w:rsidRPr="00032AD9" w14:paraId="53FE5D64" w14:textId="77777777" w:rsidTr="2C6C7817">
        <w:tc>
          <w:tcPr>
            <w:tcW w:w="2062" w:type="dxa"/>
          </w:tcPr>
          <w:p w14:paraId="59724083"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Услуге екосистема</w:t>
            </w:r>
          </w:p>
        </w:tc>
        <w:tc>
          <w:tcPr>
            <w:tcW w:w="1469" w:type="dxa"/>
          </w:tcPr>
          <w:p w14:paraId="0F21B716" w14:textId="77777777" w:rsidR="00F343D3" w:rsidRPr="00032AD9" w:rsidRDefault="00F343D3" w:rsidP="002A67F8">
            <w:pPr>
              <w:jc w:val="both"/>
              <w:rPr>
                <w:rFonts w:ascii="Times New Roman" w:hAnsi="Times New Roman" w:cs="Times New Roman"/>
                <w:lang w:val="en-GB"/>
              </w:rPr>
            </w:pPr>
          </w:p>
        </w:tc>
        <w:tc>
          <w:tcPr>
            <w:tcW w:w="5615" w:type="dxa"/>
          </w:tcPr>
          <w:p w14:paraId="1B798423" w14:textId="77777777" w:rsidR="00F343D3" w:rsidRPr="00032AD9" w:rsidRDefault="00F343D3" w:rsidP="002A67F8">
            <w:pPr>
              <w:jc w:val="both"/>
              <w:rPr>
                <w:rFonts w:ascii="Times New Roman" w:hAnsi="Times New Roman" w:cs="Times New Roman"/>
                <w:lang w:val="en-GB"/>
              </w:rPr>
            </w:pPr>
            <w:r w:rsidRPr="00032AD9">
              <w:rPr>
                <w:rFonts w:ascii="Times New Roman" w:hAnsi="Times New Roman" w:cs="Times New Roman"/>
                <w:lang w:val="sr-Cyrl"/>
              </w:rPr>
              <w:t>Допринос екосистема предностима које се добијају у економској и другој људској активности. Услуге екосистема се уопштено могу груписати у четири категорије:</w:t>
            </w:r>
          </w:p>
          <w:p w14:paraId="1FCEEE96" w14:textId="77777777" w:rsidR="00F343D3" w:rsidRPr="00032AD9" w:rsidRDefault="00F343D3" w:rsidP="00373999">
            <w:pPr>
              <w:pStyle w:val="ListParagraph"/>
              <w:numPr>
                <w:ilvl w:val="0"/>
                <w:numId w:val="4"/>
              </w:numPr>
              <w:ind w:left="360"/>
              <w:jc w:val="both"/>
              <w:rPr>
                <w:rFonts w:ascii="Times New Roman" w:hAnsi="Times New Roman" w:cs="Times New Roman"/>
                <w:lang w:val="en-GB"/>
              </w:rPr>
            </w:pPr>
            <w:r w:rsidRPr="00032AD9">
              <w:rPr>
                <w:rFonts w:ascii="Times New Roman" w:hAnsi="Times New Roman" w:cs="Times New Roman"/>
                <w:lang w:val="sr-Cyrl"/>
              </w:rPr>
              <w:t xml:space="preserve">Услуге снабдевања, које представљају материјални и енергетски допринос који је екосистем створио или су у њему створене (нпр. биљке с фармацеутским својствима). </w:t>
            </w:r>
          </w:p>
          <w:p w14:paraId="60A3A8FD" w14:textId="77777777" w:rsidR="00F343D3" w:rsidRPr="00032AD9" w:rsidRDefault="00F343D3" w:rsidP="00CB5EC8">
            <w:pPr>
              <w:pStyle w:val="ListParagraph"/>
              <w:numPr>
                <w:ilvl w:val="0"/>
                <w:numId w:val="4"/>
              </w:numPr>
              <w:ind w:left="360"/>
              <w:jc w:val="both"/>
              <w:rPr>
                <w:rFonts w:ascii="Times New Roman" w:hAnsi="Times New Roman" w:cs="Times New Roman"/>
                <w:lang w:val="en-GB"/>
              </w:rPr>
            </w:pPr>
            <w:r w:rsidRPr="00032AD9">
              <w:rPr>
                <w:rFonts w:ascii="Times New Roman" w:hAnsi="Times New Roman" w:cs="Times New Roman"/>
                <w:lang w:val="sr-Cyrl"/>
              </w:rPr>
              <w:t xml:space="preserve">Услуге регулације, које резултирају из капацитета екосистема да регулишу климатске, хидролошке и биохемијске циклусе, процесе на површини Земље и читав низ биолошких процеса. </w:t>
            </w:r>
          </w:p>
          <w:p w14:paraId="0196CA1B" w14:textId="77777777" w:rsidR="00F343D3" w:rsidRPr="00032AD9" w:rsidRDefault="00F343D3" w:rsidP="00CB5EC8">
            <w:pPr>
              <w:pStyle w:val="ListParagraph"/>
              <w:numPr>
                <w:ilvl w:val="0"/>
                <w:numId w:val="4"/>
              </w:numPr>
              <w:ind w:left="360"/>
              <w:jc w:val="both"/>
              <w:rPr>
                <w:rFonts w:ascii="Times New Roman" w:hAnsi="Times New Roman" w:cs="Times New Roman"/>
                <w:lang w:val="en-GB"/>
              </w:rPr>
            </w:pPr>
            <w:r w:rsidRPr="00032AD9">
              <w:rPr>
                <w:rFonts w:ascii="Times New Roman" w:hAnsi="Times New Roman" w:cs="Times New Roman"/>
                <w:lang w:val="sr-Cyrl"/>
              </w:rPr>
              <w:t>Културолошке услуге, које настају из физичког окружења, локација или ситуација које доводе до интелектуалних или симболичких предности које људи стичу из екосистема кроз рекреацију, развој знања, опуштање и духовно размишљање.</w:t>
            </w:r>
          </w:p>
          <w:p w14:paraId="10D41945" w14:textId="77777777" w:rsidR="00F343D3" w:rsidRPr="00032AD9" w:rsidRDefault="00F343D3" w:rsidP="00373999">
            <w:pPr>
              <w:pStyle w:val="ListParagraph"/>
              <w:numPr>
                <w:ilvl w:val="0"/>
                <w:numId w:val="4"/>
              </w:numPr>
              <w:ind w:left="360"/>
              <w:jc w:val="both"/>
              <w:rPr>
                <w:rFonts w:ascii="Times New Roman" w:hAnsi="Times New Roman" w:cs="Times New Roman"/>
                <w:lang w:val="sr-Cyrl"/>
              </w:rPr>
            </w:pPr>
            <w:r w:rsidRPr="00032AD9">
              <w:rPr>
                <w:rFonts w:ascii="Times New Roman" w:hAnsi="Times New Roman" w:cs="Times New Roman"/>
                <w:lang w:val="sr-Cyrl"/>
              </w:rPr>
              <w:t>Услуге подршке су основни природни процеси који одржавају услове живота на Земљи и омогућују пружање свих других услуга екосистема (снабдевања, регулације и културолошких услуга). Ове услуге обухватају формирање земљишта, кружење хранљивих материја, примарну производњу, кружење воде и обезбеђивање хабитата</w:t>
            </w:r>
          </w:p>
        </w:tc>
        <w:tc>
          <w:tcPr>
            <w:tcW w:w="616" w:type="dxa"/>
          </w:tcPr>
          <w:p w14:paraId="33DA2D08"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1, 43</w:t>
            </w:r>
          </w:p>
        </w:tc>
      </w:tr>
      <w:tr w:rsidR="00F343D3" w:rsidRPr="00032AD9" w14:paraId="52866EDC" w14:textId="77777777" w:rsidTr="2C6C7817">
        <w:tc>
          <w:tcPr>
            <w:tcW w:w="2062" w:type="dxa"/>
          </w:tcPr>
          <w:p w14:paraId="6051A07A"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Услуге екосистема земљишта</w:t>
            </w:r>
          </w:p>
        </w:tc>
        <w:tc>
          <w:tcPr>
            <w:tcW w:w="1469" w:type="dxa"/>
          </w:tcPr>
          <w:p w14:paraId="36865411" w14:textId="77777777" w:rsidR="00F343D3" w:rsidRPr="00032AD9" w:rsidRDefault="00F343D3" w:rsidP="00525540">
            <w:pPr>
              <w:jc w:val="both"/>
              <w:rPr>
                <w:rFonts w:ascii="Times New Roman" w:hAnsi="Times New Roman" w:cs="Times New Roman"/>
                <w:lang w:val="en-GB"/>
              </w:rPr>
            </w:pPr>
          </w:p>
        </w:tc>
        <w:tc>
          <w:tcPr>
            <w:tcW w:w="5615" w:type="dxa"/>
          </w:tcPr>
          <w:p w14:paraId="5A53F1A8"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Подскуп услуга екосистема које се односе на земљиште а које земљишта и њихова хемијска, физичка и биолошка својства, процеси и функције директно и мерљиво контролишу или пружају.</w:t>
            </w:r>
          </w:p>
        </w:tc>
        <w:tc>
          <w:tcPr>
            <w:tcW w:w="616" w:type="dxa"/>
          </w:tcPr>
          <w:p w14:paraId="616A9FEF"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2</w:t>
            </w:r>
          </w:p>
        </w:tc>
      </w:tr>
      <w:tr w:rsidR="00F343D3" w:rsidRPr="00032AD9" w14:paraId="7345E266" w14:textId="77777777" w:rsidTr="2C6C7817">
        <w:tc>
          <w:tcPr>
            <w:tcW w:w="2062" w:type="dxa"/>
          </w:tcPr>
          <w:p w14:paraId="0A57E25D"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Функције земљишта</w:t>
            </w:r>
          </w:p>
        </w:tc>
        <w:tc>
          <w:tcPr>
            <w:tcW w:w="1469" w:type="dxa"/>
          </w:tcPr>
          <w:p w14:paraId="6893C799" w14:textId="77777777" w:rsidR="00F343D3" w:rsidRPr="00032AD9" w:rsidRDefault="00F343D3" w:rsidP="00525540">
            <w:pPr>
              <w:jc w:val="both"/>
              <w:rPr>
                <w:rFonts w:ascii="Times New Roman" w:hAnsi="Times New Roman" w:cs="Times New Roman"/>
                <w:lang w:val="en-GB"/>
              </w:rPr>
            </w:pPr>
          </w:p>
        </w:tc>
        <w:tc>
          <w:tcPr>
            <w:tcW w:w="5615" w:type="dxa"/>
          </w:tcPr>
          <w:p w14:paraId="085D332B"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Функције екосистема су директно и индиректно повезане са земљиштем. Земљиште обавља многе функције, а здраво земљиште нам даје чист ваздух и воду, обиље усева и шума, продуктивне пашњаке, различит животињски свет и прелепе пределе. Земљиште све то постиже обављајући пет основних функција:</w:t>
            </w:r>
          </w:p>
          <w:p w14:paraId="7A80B263" w14:textId="77777777" w:rsidR="00F343D3" w:rsidRPr="00F343D3" w:rsidRDefault="00F343D3" w:rsidP="00525540">
            <w:pPr>
              <w:pStyle w:val="ListParagraph"/>
              <w:numPr>
                <w:ilvl w:val="0"/>
                <w:numId w:val="2"/>
              </w:numPr>
              <w:ind w:left="244" w:hanging="244"/>
              <w:jc w:val="both"/>
              <w:rPr>
                <w:rFonts w:ascii="Times New Roman" w:hAnsi="Times New Roman" w:cs="Times New Roman"/>
                <w:lang w:val="sr-Cyrl"/>
              </w:rPr>
            </w:pPr>
            <w:r w:rsidRPr="00032AD9">
              <w:rPr>
                <w:rFonts w:ascii="Times New Roman" w:hAnsi="Times New Roman" w:cs="Times New Roman"/>
                <w:lang w:val="sr-Cyrl"/>
              </w:rPr>
              <w:t>Кружење хранљивих материја – земљиште чува, умерено испушта и обезбеђује кружење хранљивих материја и других елемената. Током тих биогеохемијских процеса, аналогним кружењу воде у природи, хранљиве материје се могу претворити у облик доступан биљкама, задржати у земљишту или чак изгубити у ваздуху или води.</w:t>
            </w:r>
          </w:p>
          <w:p w14:paraId="364881E4" w14:textId="77777777" w:rsidR="00F343D3" w:rsidRPr="00F343D3" w:rsidRDefault="00F343D3" w:rsidP="00525540">
            <w:pPr>
              <w:pStyle w:val="ListParagraph"/>
              <w:numPr>
                <w:ilvl w:val="0"/>
                <w:numId w:val="2"/>
              </w:numPr>
              <w:ind w:left="244" w:hanging="244"/>
              <w:jc w:val="both"/>
              <w:rPr>
                <w:rFonts w:ascii="Times New Roman" w:hAnsi="Times New Roman" w:cs="Times New Roman"/>
                <w:lang w:val="sr-Cyrl"/>
              </w:rPr>
            </w:pPr>
            <w:r w:rsidRPr="00032AD9">
              <w:rPr>
                <w:rFonts w:ascii="Times New Roman" w:hAnsi="Times New Roman" w:cs="Times New Roman"/>
                <w:lang w:val="sr-Cyrl"/>
              </w:rPr>
              <w:t>Водни односи – земљиште може да регулише одводњавање, ток и складиштење воде и растворених материја, које обухватају азот, фосфор, пестициде и друге хранљиве материје и једињења растворена у води. Уз одговарајуће функционисање, земљиште дели воду за допуњавање подземних вода и за коришћење од стране биљака и животиња у земљишту.</w:t>
            </w:r>
          </w:p>
          <w:p w14:paraId="16ABE079" w14:textId="77777777" w:rsidR="00F343D3" w:rsidRPr="00F343D3" w:rsidRDefault="00F343D3" w:rsidP="00525540">
            <w:pPr>
              <w:pStyle w:val="ListParagraph"/>
              <w:numPr>
                <w:ilvl w:val="0"/>
                <w:numId w:val="2"/>
              </w:numPr>
              <w:ind w:left="244" w:hanging="244"/>
              <w:jc w:val="both"/>
              <w:rPr>
                <w:rFonts w:ascii="Times New Roman" w:hAnsi="Times New Roman" w:cs="Times New Roman"/>
                <w:lang w:val="sr-Cyrl"/>
              </w:rPr>
            </w:pPr>
            <w:r w:rsidRPr="00032AD9">
              <w:rPr>
                <w:rFonts w:ascii="Times New Roman" w:hAnsi="Times New Roman" w:cs="Times New Roman"/>
                <w:lang w:val="sr-Cyrl"/>
              </w:rPr>
              <w:t>Биодиверзитет и станиште – земљиште помаже раст читавог низа биљака, животиња и микроорганизама у земљишту, обично тако што им пружа различито физичко, хемијско и биолошко станиште.</w:t>
            </w:r>
          </w:p>
          <w:p w14:paraId="5ACF30DC" w14:textId="77777777" w:rsidR="00F343D3" w:rsidRPr="00F343D3" w:rsidRDefault="00F343D3" w:rsidP="00525540">
            <w:pPr>
              <w:pStyle w:val="ListParagraph"/>
              <w:numPr>
                <w:ilvl w:val="0"/>
                <w:numId w:val="2"/>
              </w:numPr>
              <w:ind w:left="244" w:hanging="244"/>
              <w:jc w:val="both"/>
              <w:rPr>
                <w:rFonts w:ascii="Times New Roman" w:hAnsi="Times New Roman" w:cs="Times New Roman"/>
                <w:lang w:val="sr-Cyrl"/>
              </w:rPr>
            </w:pPr>
            <w:r w:rsidRPr="00032AD9">
              <w:rPr>
                <w:rFonts w:ascii="Times New Roman" w:hAnsi="Times New Roman" w:cs="Times New Roman"/>
                <w:lang w:val="sr-Cyrl"/>
              </w:rPr>
              <w:lastRenderedPageBreak/>
              <w:t>Филтрирање и ублажавање – земљиште делује као филтер који штити квалитет воде, ваздуха и других ресурса. Токсична једињења и вишак хранљивих материја могу се неутралисати, трансформисати или на други начин се може онемогућити биљкама и животињама да до њих дођу.</w:t>
            </w:r>
          </w:p>
          <w:p w14:paraId="59925CE2" w14:textId="77777777" w:rsidR="00F343D3" w:rsidRPr="00F343D3" w:rsidRDefault="00F343D3" w:rsidP="00B22A51">
            <w:pPr>
              <w:pStyle w:val="ListParagraph"/>
              <w:numPr>
                <w:ilvl w:val="0"/>
                <w:numId w:val="2"/>
              </w:numPr>
              <w:ind w:left="282" w:hanging="282"/>
              <w:jc w:val="both"/>
              <w:rPr>
                <w:rFonts w:ascii="Times New Roman" w:hAnsi="Times New Roman" w:cs="Times New Roman"/>
                <w:lang w:val="sr-Cyrl"/>
              </w:rPr>
            </w:pPr>
            <w:r w:rsidRPr="00032AD9">
              <w:rPr>
                <w:rFonts w:ascii="Times New Roman" w:hAnsi="Times New Roman" w:cs="Times New Roman"/>
                <w:lang w:val="sr-Cyrl"/>
              </w:rPr>
              <w:t>Физичка стабилност и подршка – земљиште има способност да задржи своју порозну структуру и регулише проток ваздуха, гасова и воде, издржи ерозивне силе, велика оптерећења и обезбеди простор за корење биљака.</w:t>
            </w:r>
          </w:p>
        </w:tc>
        <w:tc>
          <w:tcPr>
            <w:tcW w:w="616" w:type="dxa"/>
          </w:tcPr>
          <w:p w14:paraId="5F0238B2"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lastRenderedPageBreak/>
              <w:t>7</w:t>
            </w:r>
          </w:p>
        </w:tc>
      </w:tr>
      <w:tr w:rsidR="00F343D3" w:rsidRPr="00032AD9" w14:paraId="24EC499D" w14:textId="77777777" w:rsidTr="2C6C7817">
        <w:tc>
          <w:tcPr>
            <w:tcW w:w="2062" w:type="dxa"/>
          </w:tcPr>
          <w:p w14:paraId="5B0B45CF" w14:textId="77777777" w:rsidR="00F343D3" w:rsidRPr="00032AD9" w:rsidRDefault="00F343D3" w:rsidP="002A67F8">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Функционално управљање земљом</w:t>
            </w:r>
          </w:p>
        </w:tc>
        <w:tc>
          <w:tcPr>
            <w:tcW w:w="1469" w:type="dxa"/>
          </w:tcPr>
          <w:p w14:paraId="5A81FF9F" w14:textId="77777777" w:rsidR="00F343D3" w:rsidRPr="00032AD9" w:rsidRDefault="00F343D3" w:rsidP="00525540">
            <w:pPr>
              <w:jc w:val="both"/>
              <w:rPr>
                <w:rFonts w:ascii="Times New Roman" w:hAnsi="Times New Roman" w:cs="Times New Roman"/>
                <w:lang w:val="en-GB"/>
              </w:rPr>
            </w:pPr>
          </w:p>
        </w:tc>
        <w:tc>
          <w:tcPr>
            <w:tcW w:w="5615" w:type="dxa"/>
          </w:tcPr>
          <w:p w14:paraId="48386668"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Концептуални оквир за оптимизовање пружања услуга екосистема на основу пет кључних функција земљишта, на различитим просторним скалама, како би се истовремено испунили агрономски циљеви и циљеви политика о животној средини.</w:t>
            </w:r>
          </w:p>
          <w:p w14:paraId="36BD6FFC"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 xml:space="preserve">Више информација: Концепт функција земљишта </w:t>
            </w:r>
            <w:r>
              <w:fldChar w:fldCharType="begin"/>
            </w:r>
            <w:r w:rsidRPr="00F343D3">
              <w:rPr>
                <w:lang w:val="en-GB"/>
              </w:rPr>
              <w:instrText>HYPERLINK "http://landmarkproject.eu/soil-functions-concept/"</w:instrText>
            </w:r>
            <w:r>
              <w:fldChar w:fldCharType="separate"/>
            </w:r>
            <w:r w:rsidRPr="00032AD9">
              <w:rPr>
                <w:rStyle w:val="Hyperlink"/>
                <w:rFonts w:ascii="Times New Roman" w:hAnsi="Times New Roman" w:cs="Times New Roman"/>
                <w:lang w:val="sr-Cyrl"/>
              </w:rPr>
              <w:t>http://landmarkproject.eu/soil-functions-concept/</w:t>
            </w:r>
            <w:r>
              <w:fldChar w:fldCharType="end"/>
            </w:r>
            <w:r w:rsidRPr="00032AD9">
              <w:rPr>
                <w:rFonts w:ascii="Times New Roman" w:hAnsi="Times New Roman" w:cs="Times New Roman"/>
                <w:lang w:val="sr-Cyrl"/>
              </w:rPr>
              <w:t>.</w:t>
            </w:r>
          </w:p>
        </w:tc>
        <w:tc>
          <w:tcPr>
            <w:tcW w:w="616" w:type="dxa"/>
          </w:tcPr>
          <w:p w14:paraId="1C7DE5F9"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4</w:t>
            </w:r>
          </w:p>
        </w:tc>
      </w:tr>
      <w:tr w:rsidR="00F343D3" w:rsidRPr="00032AD9" w14:paraId="3A9A9C85" w14:textId="77777777" w:rsidTr="2C6C7817">
        <w:tc>
          <w:tcPr>
            <w:tcW w:w="2062" w:type="dxa"/>
          </w:tcPr>
          <w:p w14:paraId="17D0E2CE" w14:textId="77777777" w:rsidR="00F343D3" w:rsidRPr="00032AD9" w:rsidRDefault="00F343D3" w:rsidP="00A655ED">
            <w:pPr>
              <w:rPr>
                <w:rFonts w:ascii="Times New Roman" w:hAnsi="Times New Roman" w:cs="Times New Roman"/>
                <w:b/>
                <w:color w:val="D86DCB" w:themeColor="accent5" w:themeTint="99"/>
                <w:lang w:val="en-GB"/>
              </w:rPr>
            </w:pPr>
            <w:r w:rsidRPr="00032AD9">
              <w:rPr>
                <w:rFonts w:ascii="Times New Roman" w:hAnsi="Times New Roman" w:cs="Times New Roman"/>
                <w:b/>
                <w:color w:val="3A7C22" w:themeColor="accent6" w:themeShade="BF"/>
                <w:lang w:val="sr-Cyrl"/>
              </w:rPr>
              <w:t>Холистички приступ</w:t>
            </w:r>
          </w:p>
        </w:tc>
        <w:tc>
          <w:tcPr>
            <w:tcW w:w="1469" w:type="dxa"/>
          </w:tcPr>
          <w:p w14:paraId="4399B959" w14:textId="77777777" w:rsidR="00F343D3" w:rsidRPr="00032AD9" w:rsidRDefault="00F343D3" w:rsidP="00A655ED">
            <w:pPr>
              <w:jc w:val="both"/>
              <w:rPr>
                <w:rFonts w:ascii="Times New Roman" w:hAnsi="Times New Roman" w:cs="Times New Roman"/>
                <w:lang w:val="en-GB"/>
              </w:rPr>
            </w:pPr>
          </w:p>
        </w:tc>
        <w:tc>
          <w:tcPr>
            <w:tcW w:w="5615" w:type="dxa"/>
          </w:tcPr>
          <w:p w14:paraId="7B68743A"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lang w:val="sr-Cyrl"/>
              </w:rPr>
              <w:t xml:space="preserve">Методологија која узима у обзир цео систем, уместо фокусирања само на појединачним деловима система. Овај приступ наглашава међуповезаност разних елемената у оквиру система, препознајући чињеницу да промене у једном делу могу значајно да утичу на друге делове. Холистички приступ користи разне перспективе и дисциплине да би пружио потпуније разумевање проблема и његовог контекста. Ова методологија подстиче на сарадњу између актера и преферира решења која су одржива и ефективна у већем броју различитих домена. Често се примењује у областима као што су здравствена заштита, образовање, наука о животној средини и социјална политика. </w:t>
            </w:r>
          </w:p>
        </w:tc>
        <w:tc>
          <w:tcPr>
            <w:tcW w:w="616" w:type="dxa"/>
          </w:tcPr>
          <w:p w14:paraId="713FE0A9" w14:textId="77777777" w:rsidR="00F343D3" w:rsidRPr="00032AD9" w:rsidRDefault="00F343D3" w:rsidP="00A655ED">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Loess</w:t>
            </w:r>
          </w:p>
        </w:tc>
      </w:tr>
      <w:tr w:rsidR="00F343D3" w:rsidRPr="00032AD9" w14:paraId="110EEDD7" w14:textId="77777777" w:rsidTr="2C6C7817">
        <w:tc>
          <w:tcPr>
            <w:tcW w:w="2062" w:type="dxa"/>
          </w:tcPr>
          <w:p w14:paraId="58736E29" w14:textId="77777777" w:rsidR="00F343D3" w:rsidRPr="00032AD9" w:rsidRDefault="00F343D3" w:rsidP="00A655ED">
            <w:pPr>
              <w:rPr>
                <w:rFonts w:ascii="Times New Roman" w:hAnsi="Times New Roman" w:cs="Times New Roman"/>
                <w:b/>
                <w:color w:val="BF4E14" w:themeColor="accent2" w:themeShade="BF"/>
                <w:lang w:val="en-GB"/>
              </w:rPr>
            </w:pPr>
            <w:r w:rsidRPr="00032AD9">
              <w:rPr>
                <w:rFonts w:ascii="Times New Roman" w:hAnsi="Times New Roman" w:cs="Times New Roman"/>
                <w:b/>
                <w:color w:val="3A7C22" w:themeColor="accent6" w:themeShade="BF"/>
                <w:lang w:val="sr-Cyrl"/>
              </w:rPr>
              <w:t>Хоризонт земљишта</w:t>
            </w:r>
          </w:p>
        </w:tc>
        <w:tc>
          <w:tcPr>
            <w:tcW w:w="1469" w:type="dxa"/>
          </w:tcPr>
          <w:p w14:paraId="5F55FE8C" w14:textId="77777777" w:rsidR="00F343D3" w:rsidRPr="00032AD9" w:rsidRDefault="00F343D3" w:rsidP="00A655ED">
            <w:pPr>
              <w:jc w:val="both"/>
              <w:rPr>
                <w:rFonts w:ascii="Times New Roman" w:hAnsi="Times New Roman" w:cs="Times New Roman"/>
                <w:lang w:val="en-GB"/>
              </w:rPr>
            </w:pPr>
          </w:p>
        </w:tc>
        <w:tc>
          <w:tcPr>
            <w:tcW w:w="5615" w:type="dxa"/>
          </w:tcPr>
          <w:p w14:paraId="01133108" w14:textId="77777777" w:rsidR="00F343D3" w:rsidRPr="00F343D3" w:rsidRDefault="00F343D3" w:rsidP="00A655ED">
            <w:pPr>
              <w:jc w:val="both"/>
              <w:rPr>
                <w:rFonts w:ascii="Times New Roman" w:hAnsi="Times New Roman" w:cs="Times New Roman"/>
                <w:lang w:val="sr-Cyrl"/>
              </w:rPr>
            </w:pPr>
            <w:r w:rsidRPr="00032AD9">
              <w:rPr>
                <w:rFonts w:ascii="Times New Roman" w:hAnsi="Times New Roman" w:cs="Times New Roman"/>
                <w:lang w:val="sr-Cyrl"/>
              </w:rPr>
              <w:t>Један од слојева који се формирају у профилу земљишта као резултат процеса формирања земљишта. Хоризонт се може појавити као јасно означен слој, али је чешће случај да су границе хоризонта суптилније. У земљиштима у башти и тамо где се дешава много померања земљишта, може се десити да се ови слојеви изгубе или их је теже видети.</w:t>
            </w:r>
          </w:p>
        </w:tc>
        <w:tc>
          <w:tcPr>
            <w:tcW w:w="616" w:type="dxa"/>
          </w:tcPr>
          <w:p w14:paraId="584CB029" w14:textId="77777777" w:rsidR="00F343D3" w:rsidRPr="00032AD9" w:rsidRDefault="00F343D3" w:rsidP="00A655ED">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13</w:t>
            </w:r>
          </w:p>
        </w:tc>
      </w:tr>
      <w:tr w:rsidR="00F343D3" w:rsidRPr="00032AD9" w14:paraId="309E9DA2" w14:textId="77777777" w:rsidTr="2C6C7817">
        <w:tc>
          <w:tcPr>
            <w:tcW w:w="2062" w:type="dxa"/>
          </w:tcPr>
          <w:p w14:paraId="04C700FD"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Хумификација</w:t>
            </w:r>
          </w:p>
        </w:tc>
        <w:tc>
          <w:tcPr>
            <w:tcW w:w="1469" w:type="dxa"/>
          </w:tcPr>
          <w:p w14:paraId="617DA002" w14:textId="77777777" w:rsidR="00F343D3" w:rsidRPr="00032AD9" w:rsidRDefault="00F343D3" w:rsidP="00525540">
            <w:pPr>
              <w:jc w:val="both"/>
              <w:rPr>
                <w:rFonts w:ascii="Times New Roman" w:hAnsi="Times New Roman" w:cs="Times New Roman"/>
                <w:lang w:val="en-GB"/>
              </w:rPr>
            </w:pPr>
          </w:p>
        </w:tc>
        <w:tc>
          <w:tcPr>
            <w:tcW w:w="5615" w:type="dxa"/>
          </w:tcPr>
          <w:p w14:paraId="2B704C1D" w14:textId="77777777" w:rsidR="00F343D3" w:rsidRPr="00032AD9" w:rsidRDefault="00F343D3" w:rsidP="00525540">
            <w:pPr>
              <w:jc w:val="both"/>
              <w:rPr>
                <w:rFonts w:ascii="Times New Roman" w:hAnsi="Times New Roman" w:cs="Times New Roman"/>
                <w:lang w:val="en-GB"/>
              </w:rPr>
            </w:pPr>
            <w:r w:rsidRPr="00032AD9">
              <w:rPr>
                <w:rFonts w:ascii="Times New Roman" w:hAnsi="Times New Roman" w:cs="Times New Roman"/>
                <w:lang w:val="sr-Cyrl"/>
              </w:rPr>
              <w:t>Процес којим се угљеник из органских остатака претвара у хумусне супстанце кроз биохемијске и абиотске процесе.</w:t>
            </w:r>
          </w:p>
        </w:tc>
        <w:tc>
          <w:tcPr>
            <w:tcW w:w="616" w:type="dxa"/>
          </w:tcPr>
          <w:p w14:paraId="0E24B0C8"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3</w:t>
            </w:r>
          </w:p>
        </w:tc>
      </w:tr>
      <w:tr w:rsidR="00F343D3" w:rsidRPr="00032AD9" w14:paraId="43F4B29C" w14:textId="77777777" w:rsidTr="2C6C7817">
        <w:tc>
          <w:tcPr>
            <w:tcW w:w="2062" w:type="dxa"/>
          </w:tcPr>
          <w:p w14:paraId="50121370" w14:textId="77777777" w:rsidR="00F343D3" w:rsidRPr="00032AD9" w:rsidRDefault="00F343D3" w:rsidP="002A67F8">
            <w:pPr>
              <w:rPr>
                <w:rFonts w:ascii="Times New Roman" w:hAnsi="Times New Roman" w:cs="Times New Roman"/>
                <w:b/>
                <w:color w:val="3A7C22" w:themeColor="accent6" w:themeShade="BF"/>
                <w:lang w:val="en-GB"/>
              </w:rPr>
            </w:pPr>
            <w:r w:rsidRPr="00032AD9">
              <w:rPr>
                <w:rFonts w:ascii="Times New Roman" w:hAnsi="Times New Roman" w:cs="Times New Roman"/>
                <w:b/>
                <w:color w:val="3A7C22" w:themeColor="accent6" w:themeShade="BF"/>
                <w:lang w:val="sr-Cyrl"/>
              </w:rPr>
              <w:t>Хумус</w:t>
            </w:r>
          </w:p>
        </w:tc>
        <w:tc>
          <w:tcPr>
            <w:tcW w:w="1469" w:type="dxa"/>
          </w:tcPr>
          <w:p w14:paraId="60808361" w14:textId="77777777" w:rsidR="00F343D3" w:rsidRPr="00032AD9" w:rsidRDefault="00F343D3" w:rsidP="00525540">
            <w:pPr>
              <w:jc w:val="both"/>
              <w:rPr>
                <w:rFonts w:ascii="Times New Roman" w:hAnsi="Times New Roman" w:cs="Times New Roman"/>
                <w:lang w:val="en-GB"/>
              </w:rPr>
            </w:pPr>
          </w:p>
        </w:tc>
        <w:tc>
          <w:tcPr>
            <w:tcW w:w="5615" w:type="dxa"/>
          </w:tcPr>
          <w:p w14:paraId="3D3D1C52" w14:textId="77777777" w:rsidR="00F343D3" w:rsidRPr="00032AD9" w:rsidRDefault="00F343D3" w:rsidP="00525540">
            <w:pPr>
              <w:jc w:val="both"/>
              <w:rPr>
                <w:rFonts w:ascii="Times New Roman" w:hAnsi="Times New Roman" w:cs="Times New Roman"/>
                <w:lang w:val="sr-Cyrl"/>
              </w:rPr>
            </w:pPr>
            <w:r w:rsidRPr="00032AD9">
              <w:rPr>
                <w:rFonts w:ascii="Times New Roman" w:hAnsi="Times New Roman" w:cs="Times New Roman"/>
                <w:lang w:val="sr-Cyrl"/>
              </w:rPr>
              <w:t>Тамна, аморфна</w:t>
            </w:r>
            <w:r w:rsidRPr="00032AD9">
              <w:rPr>
                <w:lang w:val="sr-Cyrl"/>
              </w:rPr>
              <w:t xml:space="preserve"> </w:t>
            </w:r>
            <w:r w:rsidRPr="00032AD9">
              <w:rPr>
                <w:rFonts w:ascii="Times New Roman" w:hAnsi="Times New Roman" w:cs="Times New Roman"/>
                <w:lang w:val="sr-Cyrl"/>
              </w:rPr>
              <w:t>органска компонента која настаје распадањем биљних и животињских остатака захваљујући микроорганизмима у минералном земљишту, која има ниску специфичну тежину и заузима велики простор; обично се састоји од многих органских једињења високе молекуларне масе. Овај термин се често користи као синоним за органску материју у земљишту. Хумус је кључна компонента здравог земљишта, важан за плодност земљишта и помаже у повезивању честица земљишта и агрегата.</w:t>
            </w:r>
          </w:p>
        </w:tc>
        <w:tc>
          <w:tcPr>
            <w:tcW w:w="616" w:type="dxa"/>
          </w:tcPr>
          <w:p w14:paraId="6C7447D5" w14:textId="77777777" w:rsidR="00F343D3" w:rsidRPr="00032AD9" w:rsidRDefault="00F343D3" w:rsidP="002A67F8">
            <w:pPr>
              <w:rPr>
                <w:rFonts w:ascii="Times New Roman" w:hAnsi="Times New Roman" w:cs="Times New Roman"/>
                <w:color w:val="663300"/>
                <w:sz w:val="16"/>
                <w:szCs w:val="16"/>
                <w:lang w:val="en-GB"/>
              </w:rPr>
            </w:pPr>
            <w:r w:rsidRPr="00032AD9">
              <w:rPr>
                <w:rFonts w:ascii="Times New Roman" w:hAnsi="Times New Roman" w:cs="Times New Roman"/>
                <w:color w:val="663300"/>
                <w:sz w:val="16"/>
                <w:szCs w:val="16"/>
                <w:lang w:val="sr-Cyrl"/>
              </w:rPr>
              <w:t>3</w:t>
            </w:r>
          </w:p>
        </w:tc>
      </w:tr>
      <w:tr w:rsidR="00A655ED" w:rsidRPr="00032AD9" w14:paraId="78697CF3" w14:textId="77777777" w:rsidTr="2C6C7817">
        <w:tc>
          <w:tcPr>
            <w:tcW w:w="2062" w:type="dxa"/>
          </w:tcPr>
          <w:p w14:paraId="1E6E5ADB" w14:textId="77777777" w:rsidR="00A655ED" w:rsidRPr="00032AD9" w:rsidRDefault="00A655ED" w:rsidP="00A655ED">
            <w:pPr>
              <w:rPr>
                <w:rFonts w:ascii="Times New Roman" w:hAnsi="Times New Roman" w:cs="Times New Roman"/>
                <w:b/>
                <w:color w:val="D86DCB" w:themeColor="accent5" w:themeTint="99"/>
                <w:lang w:val="en-GB"/>
              </w:rPr>
            </w:pPr>
          </w:p>
        </w:tc>
        <w:tc>
          <w:tcPr>
            <w:tcW w:w="1469" w:type="dxa"/>
          </w:tcPr>
          <w:p w14:paraId="0AA056E2" w14:textId="77777777" w:rsidR="00A655ED" w:rsidRPr="00032AD9" w:rsidRDefault="00A655ED" w:rsidP="00A655ED">
            <w:pPr>
              <w:jc w:val="both"/>
              <w:rPr>
                <w:rFonts w:ascii="Times New Roman" w:hAnsi="Times New Roman" w:cs="Times New Roman"/>
                <w:lang w:val="en-GB"/>
              </w:rPr>
            </w:pPr>
          </w:p>
        </w:tc>
        <w:tc>
          <w:tcPr>
            <w:tcW w:w="5615" w:type="dxa"/>
          </w:tcPr>
          <w:p w14:paraId="4431CEFA" w14:textId="77777777" w:rsidR="00A655ED" w:rsidRPr="00032AD9" w:rsidRDefault="00A655ED" w:rsidP="00A655ED">
            <w:pPr>
              <w:jc w:val="both"/>
              <w:rPr>
                <w:rFonts w:ascii="Times New Roman" w:hAnsi="Times New Roman" w:cs="Times New Roman"/>
                <w:lang w:val="en-GB"/>
              </w:rPr>
            </w:pPr>
          </w:p>
        </w:tc>
        <w:tc>
          <w:tcPr>
            <w:tcW w:w="616" w:type="dxa"/>
          </w:tcPr>
          <w:p w14:paraId="45DE3379" w14:textId="77777777" w:rsidR="00A655ED" w:rsidRPr="00032AD9" w:rsidRDefault="00A655ED" w:rsidP="00A655ED">
            <w:pPr>
              <w:rPr>
                <w:rFonts w:ascii="Times New Roman" w:hAnsi="Times New Roman" w:cs="Times New Roman"/>
                <w:color w:val="663300"/>
                <w:sz w:val="16"/>
                <w:szCs w:val="16"/>
                <w:lang w:val="en-GB"/>
              </w:rPr>
            </w:pPr>
          </w:p>
        </w:tc>
      </w:tr>
    </w:tbl>
    <w:p w14:paraId="7B4FB9C5" w14:textId="77777777" w:rsidR="00AD6E49" w:rsidRPr="00032AD9" w:rsidRDefault="00AD6E49" w:rsidP="00AD6E49">
      <w:pPr>
        <w:pStyle w:val="ListParagraph"/>
        <w:spacing w:after="0"/>
        <w:ind w:left="0"/>
        <w:rPr>
          <w:rFonts w:ascii="Arial" w:hAnsi="Arial" w:cs="Arial"/>
          <w:b/>
          <w:color w:val="3A7C22" w:themeColor="accent6" w:themeShade="BF"/>
          <w:sz w:val="24"/>
          <w:szCs w:val="24"/>
          <w:lang w:val="en-GB"/>
        </w:rPr>
      </w:pPr>
    </w:p>
    <w:p w14:paraId="3C96A377" w14:textId="3F0B9E55" w:rsidR="00AD6E49" w:rsidRPr="00032AD9" w:rsidRDefault="00AD6E49" w:rsidP="00AD6E49">
      <w:pPr>
        <w:pStyle w:val="ListParagraph"/>
        <w:spacing w:after="0"/>
        <w:ind w:left="0"/>
        <w:rPr>
          <w:rFonts w:ascii="Times New Roman" w:hAnsi="Times New Roman" w:cs="Times New Roman"/>
          <w:b/>
          <w:color w:val="3A7C22" w:themeColor="accent6" w:themeShade="BF"/>
          <w:sz w:val="24"/>
          <w:szCs w:val="24"/>
          <w:lang w:val="en-GB"/>
        </w:rPr>
      </w:pPr>
      <w:r w:rsidRPr="00032AD9">
        <w:rPr>
          <w:rFonts w:ascii="Times New Roman" w:hAnsi="Times New Roman" w:cs="Times New Roman"/>
          <w:b/>
          <w:color w:val="3A7C22" w:themeColor="accent6" w:themeShade="BF"/>
          <w:sz w:val="24"/>
          <w:szCs w:val="24"/>
          <w:lang w:val="sr-Cyrl"/>
        </w:rPr>
        <w:t>Библиографија:</w:t>
      </w:r>
    </w:p>
    <w:p w14:paraId="7A09F175" w14:textId="77777777" w:rsidR="00AD6E49" w:rsidRPr="00032AD9" w:rsidRDefault="00AD6E49" w:rsidP="00AD6E49">
      <w:pPr>
        <w:pStyle w:val="ListParagraph"/>
        <w:spacing w:after="0"/>
        <w:ind w:left="0"/>
        <w:rPr>
          <w:rFonts w:ascii="Times New Roman" w:hAnsi="Times New Roman" w:cs="Times New Roman"/>
          <w:b/>
          <w:color w:val="3A7C22" w:themeColor="accent6" w:themeShade="BF"/>
          <w:lang w:val="en-GB"/>
        </w:rPr>
      </w:pPr>
    </w:p>
    <w:p w14:paraId="6A80FE8D" w14:textId="2F885DAC" w:rsidR="00AD6E49" w:rsidRPr="00032AD9" w:rsidRDefault="00AD6E49" w:rsidP="003B4948">
      <w:pPr>
        <w:pStyle w:val="ListParagraph"/>
        <w:numPr>
          <w:ilvl w:val="0"/>
          <w:numId w:val="1"/>
        </w:numPr>
        <w:ind w:left="426" w:hanging="426"/>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 xml:space="preserve">The Nature-Based Solutions for Soil Management – NBSOIL EU Project, Glossary </w:t>
      </w:r>
      <w:r w:rsidR="0000609E" w:rsidRPr="00032AD9">
        <w:rPr>
          <w:rFonts w:ascii="Times New Roman" w:hAnsi="Times New Roman" w:cs="Times New Roman"/>
          <w:color w:val="000000" w:themeColor="text1"/>
          <w:lang w:val="sr-Cyrl"/>
        </w:rPr>
        <w:t>available</w:t>
      </w:r>
      <w:r w:rsidRPr="00032AD9">
        <w:rPr>
          <w:rFonts w:ascii="Times New Roman" w:hAnsi="Times New Roman" w:cs="Times New Roman"/>
          <w:color w:val="000000" w:themeColor="text1"/>
          <w:lang w:val="sr-Cyrl"/>
        </w:rPr>
        <w:t xml:space="preserve"> at: </w:t>
      </w:r>
      <w:r>
        <w:fldChar w:fldCharType="begin"/>
      </w:r>
      <w:r w:rsidRPr="00F343D3">
        <w:rPr>
          <w:lang w:val="en-GB"/>
        </w:rPr>
        <w:instrText>HYPERLINK "https://nbsoil.eu/glossary/"</w:instrText>
      </w:r>
      <w:r>
        <w:fldChar w:fldCharType="separate"/>
      </w:r>
      <w:r w:rsidRPr="00032AD9">
        <w:rPr>
          <w:rStyle w:val="Hyperlink"/>
          <w:rFonts w:ascii="Times New Roman" w:hAnsi="Times New Roman" w:cs="Times New Roman"/>
          <w:color w:val="000000" w:themeColor="text1"/>
          <w:lang w:val="sr-Cyrl"/>
        </w:rPr>
        <w:t>https://nbsoil.eu/glossary/</w:t>
      </w:r>
      <w:r>
        <w:fldChar w:fldCharType="end"/>
      </w:r>
    </w:p>
    <w:p w14:paraId="71B25A89" w14:textId="0BECBFDB" w:rsidR="00AD6E49" w:rsidRPr="00032AD9" w:rsidRDefault="00AD6E49" w:rsidP="003B4948">
      <w:pPr>
        <w:pStyle w:val="ListParagraph"/>
        <w:numPr>
          <w:ilvl w:val="0"/>
          <w:numId w:val="1"/>
        </w:numPr>
        <w:ind w:left="426" w:hanging="426"/>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Soil Health Be</w:t>
      </w:r>
      <w:r w:rsidR="492994D7" w:rsidRPr="00032AD9">
        <w:rPr>
          <w:rFonts w:ascii="Times New Roman" w:hAnsi="Times New Roman" w:cs="Times New Roman"/>
          <w:color w:val="000000" w:themeColor="text1"/>
          <w:lang w:val="sr-Cyrl"/>
        </w:rPr>
        <w:t>n</w:t>
      </w:r>
      <w:r w:rsidRPr="00032AD9">
        <w:rPr>
          <w:rFonts w:ascii="Times New Roman" w:hAnsi="Times New Roman" w:cs="Times New Roman"/>
          <w:color w:val="000000" w:themeColor="text1"/>
          <w:lang w:val="sr-Cyrl"/>
        </w:rPr>
        <w:t xml:space="preserve">chmarks, EU Project 2022, Glossary available at: </w:t>
      </w:r>
      <w:r>
        <w:fldChar w:fldCharType="begin"/>
      </w:r>
      <w:r w:rsidRPr="00F343D3">
        <w:rPr>
          <w:lang w:val="en-GB"/>
        </w:rPr>
        <w:instrText>HYPERLINK "https://soilhealthbenchmarks.eu/glossary/" \h</w:instrText>
      </w:r>
      <w:r>
        <w:fldChar w:fldCharType="separate"/>
      </w:r>
      <w:r w:rsidRPr="00032AD9">
        <w:rPr>
          <w:rStyle w:val="Hyperlink"/>
          <w:rFonts w:ascii="Times New Roman" w:hAnsi="Times New Roman" w:cs="Times New Roman"/>
          <w:color w:val="000000" w:themeColor="text1"/>
          <w:lang w:val="sr-Cyrl"/>
        </w:rPr>
        <w:t>https://soilhealthbenchmarks.eu/glossary/</w:t>
      </w:r>
      <w:r>
        <w:fldChar w:fldCharType="end"/>
      </w:r>
    </w:p>
    <w:p w14:paraId="62482883" w14:textId="074906C9" w:rsidR="00AD6E49" w:rsidRPr="00032AD9" w:rsidRDefault="00AD6E49" w:rsidP="003B4948">
      <w:pPr>
        <w:pStyle w:val="ListParagraph"/>
        <w:numPr>
          <w:ilvl w:val="0"/>
          <w:numId w:val="1"/>
        </w:numPr>
        <w:ind w:left="426" w:hanging="426"/>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SoilCare Project (2023) Glossary. Available at: </w:t>
      </w:r>
      <w:r>
        <w:fldChar w:fldCharType="begin"/>
      </w:r>
      <w:r w:rsidRPr="00F343D3">
        <w:rPr>
          <w:lang w:val="en-GB"/>
        </w:rPr>
        <w:instrText>HYPERLINK "https://www.soilcare-project.eu/resources/glossary"</w:instrText>
      </w:r>
      <w:r>
        <w:fldChar w:fldCharType="separate"/>
      </w:r>
      <w:r w:rsidRPr="00032AD9">
        <w:rPr>
          <w:rStyle w:val="Hyperlink"/>
          <w:rFonts w:ascii="Times New Roman" w:hAnsi="Times New Roman" w:cs="Times New Roman"/>
          <w:color w:val="000000" w:themeColor="text1"/>
          <w:lang w:val="sr-Cyrl"/>
        </w:rPr>
        <w:t>https://www.soilcare-project.eu/resources/glossary</w:t>
      </w:r>
      <w:r>
        <w:fldChar w:fldCharType="end"/>
      </w:r>
      <w:r w:rsidRPr="00032AD9">
        <w:rPr>
          <w:rFonts w:ascii="Times New Roman" w:hAnsi="Times New Roman" w:cs="Times New Roman"/>
          <w:color w:val="000000" w:themeColor="text1"/>
          <w:lang w:val="sr-Cyrl"/>
        </w:rPr>
        <w:t xml:space="preserve"> (Accessed: 28 August 2024).</w:t>
      </w:r>
    </w:p>
    <w:p w14:paraId="0547156A" w14:textId="1488E471" w:rsidR="002834EC" w:rsidRPr="00032AD9" w:rsidRDefault="002834EC" w:rsidP="003B4948">
      <w:pPr>
        <w:pStyle w:val="ListParagraph"/>
        <w:numPr>
          <w:ilvl w:val="0"/>
          <w:numId w:val="1"/>
        </w:numPr>
        <w:ind w:left="426" w:hanging="426"/>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Landmark, EU Proje</w:t>
      </w:r>
      <w:r w:rsidR="00582A39" w:rsidRPr="00032AD9">
        <w:rPr>
          <w:rFonts w:ascii="Times New Roman" w:hAnsi="Times New Roman" w:cs="Times New Roman"/>
          <w:color w:val="000000" w:themeColor="text1"/>
          <w:lang w:val="sr-Cyrl"/>
        </w:rPr>
        <w:t>c</w:t>
      </w:r>
      <w:r w:rsidRPr="00032AD9">
        <w:rPr>
          <w:rFonts w:ascii="Times New Roman" w:hAnsi="Times New Roman" w:cs="Times New Roman"/>
          <w:color w:val="000000" w:themeColor="text1"/>
          <w:lang w:val="sr-Cyrl"/>
        </w:rPr>
        <w:t xml:space="preserve">t 2015, Glossary available at </w:t>
      </w:r>
      <w:r>
        <w:fldChar w:fldCharType="begin"/>
      </w:r>
      <w:r w:rsidRPr="00F343D3">
        <w:rPr>
          <w:lang w:val="en-GB"/>
        </w:rPr>
        <w:instrText>HYPERLINK "https://landmarkproject.eu/landmark-glossary/"</w:instrText>
      </w:r>
      <w:r>
        <w:fldChar w:fldCharType="separate"/>
      </w:r>
      <w:r w:rsidRPr="00032AD9">
        <w:rPr>
          <w:rStyle w:val="Hyperlink"/>
          <w:rFonts w:ascii="Times New Roman" w:hAnsi="Times New Roman" w:cs="Times New Roman"/>
          <w:color w:val="000000" w:themeColor="text1"/>
          <w:lang w:val="sr-Cyrl"/>
        </w:rPr>
        <w:t>https://landmarkproject.eu/landmark-glossary/#</w:t>
      </w:r>
      <w:r>
        <w:fldChar w:fldCharType="end"/>
      </w:r>
      <w:r w:rsidRPr="00032AD9">
        <w:rPr>
          <w:rFonts w:ascii="Times New Roman" w:hAnsi="Times New Roman" w:cs="Times New Roman"/>
          <w:color w:val="000000" w:themeColor="text1"/>
          <w:lang w:val="sr-Cyrl"/>
        </w:rPr>
        <w:t xml:space="preserve"> (Accessed: 28 August 2024).</w:t>
      </w:r>
    </w:p>
    <w:p w14:paraId="130D4599" w14:textId="62B07926" w:rsidR="0021576C" w:rsidRPr="00032AD9" w:rsidRDefault="0021576C" w:rsidP="003B4948">
      <w:pPr>
        <w:pStyle w:val="ListParagraph"/>
        <w:numPr>
          <w:ilvl w:val="0"/>
          <w:numId w:val="1"/>
        </w:numPr>
        <w:ind w:left="426" w:hanging="426"/>
        <w:rPr>
          <w:rFonts w:ascii="Times New Roman" w:hAnsi="Times New Roman" w:cs="Times New Roman"/>
          <w:color w:val="000000" w:themeColor="text1"/>
          <w:lang w:val="en-GB"/>
        </w:rPr>
      </w:pPr>
      <w:r w:rsidRPr="00032AD9">
        <w:rPr>
          <w:rFonts w:ascii="Times New Roman" w:hAnsi="Times New Roman" w:cs="Times New Roman"/>
          <w:color w:val="000000" w:themeColor="text1"/>
          <w:shd w:val="clear" w:color="auto" w:fill="FFFFFF"/>
          <w:lang w:val="sr-Cyrl"/>
        </w:rPr>
        <w:t xml:space="preserve">Huntley, B.J. (2023). Soil, Water and Nutrients. In: Ecology of Angola. Springer, Cham. </w:t>
      </w:r>
      <w:hyperlink r:id="rId14" w:history="1">
        <w:r w:rsidRPr="00032AD9">
          <w:rPr>
            <w:rStyle w:val="Hyperlink"/>
            <w:rFonts w:ascii="Times New Roman" w:hAnsi="Times New Roman" w:cs="Times New Roman"/>
            <w:color w:val="000000" w:themeColor="text1"/>
            <w:shd w:val="clear" w:color="auto" w:fill="FFFFFF"/>
            <w:lang w:val="sr-Cyrl"/>
          </w:rPr>
          <w:t>https://doi.org/10.1007/978-3-031-18923-4_6</w:t>
        </w:r>
      </w:hyperlink>
      <w:r w:rsidRPr="00032AD9">
        <w:rPr>
          <w:rFonts w:ascii="Times New Roman" w:hAnsi="Times New Roman" w:cs="Times New Roman"/>
          <w:color w:val="000000" w:themeColor="text1"/>
          <w:shd w:val="clear" w:color="auto" w:fill="FFFFFF"/>
          <w:lang w:val="sr-Cyrl"/>
        </w:rPr>
        <w:t xml:space="preserve"> (</w:t>
      </w:r>
      <w:hyperlink r:id="rId15" w:anchor="citeas" w:history="1">
        <w:r w:rsidRPr="00032AD9">
          <w:rPr>
            <w:rStyle w:val="Hyperlink"/>
            <w:rFonts w:ascii="Times New Roman" w:hAnsi="Times New Roman" w:cs="Times New Roman"/>
            <w:color w:val="000000" w:themeColor="text1"/>
            <w:shd w:val="clear" w:color="auto" w:fill="FFFFFF"/>
            <w:lang w:val="sr-Cyrl"/>
          </w:rPr>
          <w:t>https://link.springer.com/chapter/10.1007/978-3-031-18923-4_6#citeas</w:t>
        </w:r>
      </w:hyperlink>
      <w:r w:rsidRPr="00032AD9">
        <w:rPr>
          <w:rFonts w:ascii="Times New Roman" w:hAnsi="Times New Roman" w:cs="Times New Roman"/>
          <w:color w:val="000000" w:themeColor="text1"/>
          <w:shd w:val="clear" w:color="auto" w:fill="FFFFFF"/>
          <w:lang w:val="sr-Cyrl"/>
        </w:rPr>
        <w:t>)</w:t>
      </w:r>
    </w:p>
    <w:p w14:paraId="7F33B9FF" w14:textId="77777777" w:rsidR="003B4948" w:rsidRPr="00032AD9" w:rsidRDefault="0021576C" w:rsidP="003B4948">
      <w:pPr>
        <w:pStyle w:val="ListParagraph"/>
        <w:numPr>
          <w:ilvl w:val="0"/>
          <w:numId w:val="1"/>
        </w:numPr>
        <w:ind w:left="426" w:hanging="426"/>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Radziuk, H</w:t>
      </w:r>
      <w:r w:rsidR="005A766D" w:rsidRPr="00032AD9">
        <w:rPr>
          <w:rFonts w:ascii="Times New Roman" w:hAnsi="Times New Roman" w:cs="Times New Roman"/>
          <w:color w:val="000000" w:themeColor="text1"/>
          <w:lang w:val="sr-Cyrl"/>
        </w:rPr>
        <w:t>.</w:t>
      </w:r>
      <w:r w:rsidRPr="00032AD9">
        <w:rPr>
          <w:rFonts w:ascii="Times New Roman" w:hAnsi="Times New Roman" w:cs="Times New Roman"/>
          <w:color w:val="000000" w:themeColor="text1"/>
          <w:lang w:val="sr-Cyrl"/>
        </w:rPr>
        <w:t>, Świtoniak.</w:t>
      </w:r>
      <w:r w:rsidR="005A766D" w:rsidRPr="00032AD9">
        <w:rPr>
          <w:rFonts w:ascii="Times New Roman" w:hAnsi="Times New Roman" w:cs="Times New Roman"/>
          <w:color w:val="000000" w:themeColor="text1"/>
          <w:lang w:val="sr-Cyrl"/>
        </w:rPr>
        <w:t xml:space="preserve"> M. (</w:t>
      </w:r>
      <w:r w:rsidRPr="00032AD9">
        <w:rPr>
          <w:rFonts w:ascii="Times New Roman" w:hAnsi="Times New Roman" w:cs="Times New Roman"/>
          <w:color w:val="000000" w:themeColor="text1"/>
          <w:lang w:val="sr-Cyrl"/>
        </w:rPr>
        <w:t>2022</w:t>
      </w:r>
      <w:r w:rsidR="005A766D" w:rsidRPr="00032AD9">
        <w:rPr>
          <w:rFonts w:ascii="Times New Roman" w:hAnsi="Times New Roman" w:cs="Times New Roman"/>
          <w:color w:val="000000" w:themeColor="text1"/>
          <w:lang w:val="sr-Cyrl"/>
        </w:rPr>
        <w:t>)</w:t>
      </w:r>
      <w:r w:rsidRPr="00032AD9">
        <w:rPr>
          <w:rFonts w:ascii="Times New Roman" w:hAnsi="Times New Roman" w:cs="Times New Roman"/>
          <w:color w:val="000000" w:themeColor="text1"/>
          <w:lang w:val="sr-Cyrl"/>
        </w:rPr>
        <w:t>. The Effect of Erosional Transformation of Soil Cover on the Stability of Soil Aggregates within Young Hummocky Moraine Landscapes in Northern Poland</w:t>
      </w:r>
      <w:r w:rsidR="005A766D" w:rsidRPr="00032AD9">
        <w:rPr>
          <w:rFonts w:ascii="Times New Roman" w:hAnsi="Times New Roman" w:cs="Times New Roman"/>
          <w:color w:val="000000" w:themeColor="text1"/>
          <w:lang w:val="sr-Cyrl"/>
        </w:rPr>
        <w:t>.</w:t>
      </w:r>
      <w:r w:rsidRPr="00032AD9">
        <w:rPr>
          <w:rFonts w:ascii="Times New Roman" w:hAnsi="Times New Roman" w:cs="Times New Roman"/>
          <w:color w:val="000000" w:themeColor="text1"/>
          <w:lang w:val="sr-Cyrl"/>
        </w:rPr>
        <w:t xml:space="preserve"> Agronomy 12, no. 11: 2595. </w:t>
      </w:r>
      <w:r w:rsidR="005A766D">
        <w:fldChar w:fldCharType="begin"/>
      </w:r>
      <w:r w:rsidR="005A766D">
        <w:instrText>HYPERLINK "https://doi.org/10.3390/agronomy12112595"</w:instrText>
      </w:r>
      <w:r w:rsidR="005A766D">
        <w:fldChar w:fldCharType="separate"/>
      </w:r>
      <w:r w:rsidR="005A766D" w:rsidRPr="00032AD9">
        <w:rPr>
          <w:rStyle w:val="Hyperlink"/>
          <w:rFonts w:ascii="Times New Roman" w:hAnsi="Times New Roman" w:cs="Times New Roman"/>
          <w:color w:val="000000" w:themeColor="text1"/>
          <w:lang w:val="sr-Cyrl"/>
        </w:rPr>
        <w:t>https://doi.org/10.3390/agronomy12112595</w:t>
      </w:r>
      <w:r w:rsidR="005A766D">
        <w:fldChar w:fldCharType="end"/>
      </w:r>
      <w:r w:rsidR="00767523" w:rsidRPr="00032AD9">
        <w:rPr>
          <w:rFonts w:ascii="Times New Roman" w:hAnsi="Times New Roman" w:cs="Times New Roman"/>
          <w:color w:val="000000" w:themeColor="text1"/>
          <w:lang w:val="sr-Cyrl"/>
        </w:rPr>
        <w:t>.</w:t>
      </w:r>
    </w:p>
    <w:p w14:paraId="7E736D69" w14:textId="1FB53DF2" w:rsidR="00767523" w:rsidRPr="00032AD9" w:rsidRDefault="00C60A38" w:rsidP="003B4948">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 xml:space="preserve">Hoorman, J., Reeder, R., Sundermeier, A., Islam R., Aziz, I., </w:t>
      </w:r>
      <w:r w:rsidR="001A43DB" w:rsidRPr="00032AD9">
        <w:rPr>
          <w:rFonts w:ascii="Times New Roman" w:hAnsi="Times New Roman" w:cs="Times New Roman"/>
          <w:color w:val="000000" w:themeColor="text1"/>
          <w:lang w:val="sr-Cyrl"/>
        </w:rPr>
        <w:t xml:space="preserve">(2012). </w:t>
      </w:r>
      <w:r w:rsidRPr="00032AD9">
        <w:rPr>
          <w:rFonts w:ascii="Times New Roman" w:hAnsi="Times New Roman" w:cs="Times New Roman"/>
          <w:color w:val="000000" w:themeColor="text1"/>
          <w:lang w:val="sr-Cyrl"/>
        </w:rPr>
        <w:t>Soil Terminology and Definitions, Ohio State University</w:t>
      </w:r>
      <w:r w:rsidR="001A43DB" w:rsidRPr="00032AD9">
        <w:rPr>
          <w:rFonts w:ascii="Times New Roman" w:hAnsi="Times New Roman" w:cs="Times New Roman"/>
          <w:color w:val="000000" w:themeColor="text1"/>
          <w:lang w:val="sr-Cyrl"/>
        </w:rPr>
        <w:t xml:space="preserve"> extension</w:t>
      </w:r>
      <w:r w:rsidRPr="00032AD9">
        <w:rPr>
          <w:rFonts w:ascii="Times New Roman" w:hAnsi="Times New Roman" w:cs="Times New Roman"/>
          <w:color w:val="000000" w:themeColor="text1"/>
          <w:lang w:val="sr-Cyrl"/>
        </w:rPr>
        <w:t xml:space="preserve">. </w:t>
      </w:r>
      <w:hyperlink r:id="rId16" w:history="1">
        <w:r w:rsidR="001A43DB" w:rsidRPr="00032AD9">
          <w:rPr>
            <w:rStyle w:val="Hyperlink"/>
            <w:rFonts w:ascii="Times New Roman" w:hAnsi="Times New Roman" w:cs="Times New Roman"/>
            <w:lang w:val="sr-Cyrl"/>
          </w:rPr>
          <w:t>https://ohioline.osu.edu/factsheet/SAG-19</w:t>
        </w:r>
      </w:hyperlink>
      <w:r w:rsidR="001A43DB" w:rsidRPr="00032AD9">
        <w:rPr>
          <w:rFonts w:ascii="Times New Roman" w:hAnsi="Times New Roman" w:cs="Times New Roman"/>
          <w:color w:val="000000" w:themeColor="text1"/>
          <w:lang w:val="sr-Cyrl"/>
        </w:rPr>
        <w:t xml:space="preserve"> (Acces</w:t>
      </w:r>
      <w:r w:rsidR="0000609E" w:rsidRPr="00032AD9">
        <w:rPr>
          <w:rFonts w:ascii="Times New Roman" w:hAnsi="Times New Roman" w:cs="Times New Roman"/>
          <w:color w:val="000000" w:themeColor="text1"/>
          <w:lang w:val="sr-Cyrl"/>
        </w:rPr>
        <w:t>s</w:t>
      </w:r>
      <w:r w:rsidR="001A43DB" w:rsidRPr="00032AD9">
        <w:rPr>
          <w:rFonts w:ascii="Times New Roman" w:hAnsi="Times New Roman" w:cs="Times New Roman"/>
          <w:color w:val="000000" w:themeColor="text1"/>
          <w:lang w:val="sr-Cyrl"/>
        </w:rPr>
        <w:t>ed: 29 august 2024)</w:t>
      </w:r>
    </w:p>
    <w:p w14:paraId="2D394610" w14:textId="77777777" w:rsidR="003B4948" w:rsidRPr="00032AD9" w:rsidRDefault="003B4948" w:rsidP="003B4948">
      <w:pPr>
        <w:pStyle w:val="ListParagraph"/>
        <w:numPr>
          <w:ilvl w:val="0"/>
          <w:numId w:val="1"/>
        </w:numPr>
        <w:ind w:left="426" w:hanging="426"/>
        <w:jc w:val="both"/>
        <w:rPr>
          <w:rFonts w:ascii="Times New Roman" w:hAnsi="Times New Roman" w:cs="Times New Roman"/>
          <w:color w:val="000000" w:themeColor="text1"/>
          <w:lang w:val="de-DE"/>
        </w:rPr>
      </w:pPr>
      <w:r w:rsidRPr="00032AD9">
        <w:rPr>
          <w:rFonts w:ascii="Times New Roman" w:hAnsi="Times New Roman" w:cs="Times New Roman"/>
          <w:color w:val="000000" w:themeColor="text1"/>
          <w:lang w:val="de-DE"/>
        </w:rPr>
        <w:t>Nahm, M., &amp; Morhart, C. (2017). Multifunktionalität und Vielfalt von Agroforstwirtschaft. Bäume in der Land(wirt)schaft–von der Theorie in die Praxis, 17-24.</w:t>
      </w:r>
    </w:p>
    <w:p w14:paraId="0941A377" w14:textId="77777777" w:rsidR="003B4948" w:rsidRPr="00032AD9" w:rsidRDefault="003B4948" w:rsidP="003B4948">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de-DE"/>
        </w:rPr>
        <w:t xml:space="preserve">Möller, A. &amp; Höper, H. (2015). Bewertung des Einsatzes von Biokohle in der Landwirtschaft aus Sicht des Bodenschutzes. </w:t>
      </w:r>
      <w:r w:rsidRPr="00032AD9">
        <w:rPr>
          <w:rFonts w:ascii="Times New Roman" w:hAnsi="Times New Roman" w:cs="Times New Roman"/>
          <w:color w:val="000000" w:themeColor="text1"/>
          <w:lang w:val="sr-Cyrl"/>
        </w:rPr>
        <w:t>Hannover, Landesamt für Bergbau, Energie und Geologie.</w:t>
      </w:r>
    </w:p>
    <w:p w14:paraId="3628C2EE" w14:textId="77777777" w:rsidR="003B4948" w:rsidRPr="00032AD9" w:rsidRDefault="003B4948" w:rsidP="003B4948">
      <w:pPr>
        <w:pStyle w:val="ListParagraph"/>
        <w:numPr>
          <w:ilvl w:val="0"/>
          <w:numId w:val="1"/>
        </w:numPr>
        <w:ind w:left="426" w:hanging="426"/>
        <w:jc w:val="both"/>
        <w:rPr>
          <w:rFonts w:ascii="Times New Roman" w:hAnsi="Times New Roman" w:cs="Times New Roman"/>
          <w:color w:val="000000" w:themeColor="text1"/>
          <w:lang w:val="de-DE"/>
        </w:rPr>
      </w:pPr>
      <w:r w:rsidRPr="00032AD9">
        <w:rPr>
          <w:rFonts w:ascii="Times New Roman" w:hAnsi="Times New Roman" w:cs="Times New Roman"/>
          <w:color w:val="000000" w:themeColor="text1"/>
          <w:lang w:val="de-DE"/>
        </w:rPr>
        <w:t>Möller, K., Sauter, G., Mann, T., Flaig, H., &amp; Breuer, J. (2022). Wissenschaftliche Bewertung der Methoden der Regenerativen Landwirtschaft. In Conference (Vol. 132, pp. 107-117).</w:t>
      </w:r>
    </w:p>
    <w:p w14:paraId="54CAEEDD" w14:textId="1165EE68" w:rsidR="006D24D6" w:rsidRPr="00032AD9" w:rsidRDefault="006D24D6" w:rsidP="003B4948">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 xml:space="preserve">European Coordination Via Campesina (2016). </w:t>
      </w:r>
      <w:r w:rsidRPr="00032AD9">
        <w:rPr>
          <w:rFonts w:ascii="Times New Roman" w:hAnsi="Times New Roman" w:cs="Times New Roman"/>
          <w:lang w:val="sr-Cyrl"/>
        </w:rPr>
        <w:t>How do we define Land Grabbing?</w:t>
      </w:r>
      <w:r w:rsidRPr="00032AD9">
        <w:rPr>
          <w:rFonts w:ascii="Times New Roman" w:hAnsi="Times New Roman" w:cs="Times New Roman"/>
          <w:color w:val="000000" w:themeColor="text1"/>
          <w:lang w:val="sr-Cyrl"/>
        </w:rPr>
        <w:t xml:space="preserve"> </w:t>
      </w:r>
      <w:hyperlink r:id="rId17" w:history="1">
        <w:r w:rsidRPr="00032AD9">
          <w:rPr>
            <w:rStyle w:val="Hyperlink"/>
            <w:rFonts w:ascii="Times New Roman" w:hAnsi="Times New Roman" w:cs="Times New Roman"/>
            <w:lang w:val="sr-Cyrl"/>
          </w:rPr>
          <w:t>https://www.eurovia.org/wp-content/uploads/2016/11/defining-land-grabs.pdf</w:t>
        </w:r>
      </w:hyperlink>
      <w:r w:rsidRPr="00032AD9">
        <w:rPr>
          <w:rFonts w:ascii="Times New Roman" w:hAnsi="Times New Roman" w:cs="Times New Roman"/>
          <w:color w:val="000000" w:themeColor="text1"/>
          <w:lang w:val="sr-Cyrl"/>
        </w:rPr>
        <w:t xml:space="preserve"> </w:t>
      </w:r>
      <w:bookmarkStart w:id="3" w:name="_Hlk180704550"/>
      <w:r w:rsidRPr="00032AD9">
        <w:rPr>
          <w:rFonts w:ascii="Times New Roman" w:hAnsi="Times New Roman" w:cs="Times New Roman"/>
          <w:color w:val="000000" w:themeColor="text1"/>
          <w:lang w:val="sr-Cyrl"/>
        </w:rPr>
        <w:t>(Acces</w:t>
      </w:r>
      <w:r w:rsidR="0000609E" w:rsidRPr="00032AD9">
        <w:rPr>
          <w:rFonts w:ascii="Times New Roman" w:hAnsi="Times New Roman" w:cs="Times New Roman"/>
          <w:color w:val="000000" w:themeColor="text1"/>
          <w:lang w:val="sr-Cyrl"/>
        </w:rPr>
        <w:t>s</w:t>
      </w:r>
      <w:r w:rsidRPr="00032AD9">
        <w:rPr>
          <w:rFonts w:ascii="Times New Roman" w:hAnsi="Times New Roman" w:cs="Times New Roman"/>
          <w:color w:val="000000" w:themeColor="text1"/>
          <w:lang w:val="sr-Cyrl"/>
        </w:rPr>
        <w:t>ed:</w:t>
      </w:r>
      <w:r w:rsidR="00262263" w:rsidRPr="00032AD9">
        <w:rPr>
          <w:rFonts w:ascii="Times New Roman" w:hAnsi="Times New Roman" w:cs="Times New Roman"/>
          <w:color w:val="000000" w:themeColor="text1"/>
          <w:lang w:val="sr-Cyrl"/>
        </w:rPr>
        <w:t xml:space="preserve"> </w:t>
      </w:r>
      <w:r w:rsidRPr="00032AD9">
        <w:rPr>
          <w:rFonts w:ascii="Times New Roman" w:hAnsi="Times New Roman" w:cs="Times New Roman"/>
          <w:color w:val="000000" w:themeColor="text1"/>
          <w:lang w:val="sr-Cyrl"/>
        </w:rPr>
        <w:t>6.10.2024)</w:t>
      </w:r>
      <w:bookmarkEnd w:id="3"/>
    </w:p>
    <w:p w14:paraId="083A7C4A" w14:textId="18ECFB56" w:rsidR="006D24D6" w:rsidRPr="00032AD9" w:rsidRDefault="006D24D6" w:rsidP="003B4948">
      <w:pPr>
        <w:pStyle w:val="ListParagraph"/>
        <w:numPr>
          <w:ilvl w:val="0"/>
          <w:numId w:val="1"/>
        </w:numPr>
        <w:ind w:left="426" w:hanging="426"/>
        <w:jc w:val="both"/>
        <w:rPr>
          <w:rFonts w:ascii="Times New Roman" w:hAnsi="Times New Roman" w:cs="Times New Roman"/>
          <w:color w:val="000000" w:themeColor="text1"/>
          <w:lang w:val="en-GB"/>
        </w:rPr>
      </w:pPr>
      <w:proofErr w:type="spellStart"/>
      <w:r w:rsidRPr="00F343D3">
        <w:rPr>
          <w:rFonts w:ascii="Times New Roman" w:hAnsi="Times New Roman" w:cs="Times New Roman"/>
          <w:color w:val="000000" w:themeColor="text1"/>
          <w:lang w:val="en-GB"/>
        </w:rPr>
        <w:t>Kopittke</w:t>
      </w:r>
      <w:proofErr w:type="spellEnd"/>
      <w:r w:rsidRPr="00F343D3">
        <w:rPr>
          <w:rFonts w:ascii="Times New Roman" w:hAnsi="Times New Roman" w:cs="Times New Roman"/>
          <w:color w:val="000000" w:themeColor="text1"/>
          <w:lang w:val="en-GB"/>
        </w:rPr>
        <w:t xml:space="preserve">, P. M., </w:t>
      </w:r>
      <w:proofErr w:type="spellStart"/>
      <w:r w:rsidRPr="00F343D3">
        <w:rPr>
          <w:rFonts w:ascii="Times New Roman" w:hAnsi="Times New Roman" w:cs="Times New Roman"/>
          <w:color w:val="000000" w:themeColor="text1"/>
          <w:lang w:val="en-GB"/>
        </w:rPr>
        <w:t>Minasny</w:t>
      </w:r>
      <w:proofErr w:type="spellEnd"/>
      <w:r w:rsidRPr="00F343D3">
        <w:rPr>
          <w:rFonts w:ascii="Times New Roman" w:hAnsi="Times New Roman" w:cs="Times New Roman"/>
          <w:color w:val="000000" w:themeColor="text1"/>
          <w:lang w:val="en-GB"/>
        </w:rPr>
        <w:t xml:space="preserve">, B., </w:t>
      </w:r>
      <w:proofErr w:type="spellStart"/>
      <w:r w:rsidRPr="00F343D3">
        <w:rPr>
          <w:rFonts w:ascii="Times New Roman" w:hAnsi="Times New Roman" w:cs="Times New Roman"/>
          <w:color w:val="000000" w:themeColor="text1"/>
          <w:lang w:val="en-GB"/>
        </w:rPr>
        <w:t>Pendall</w:t>
      </w:r>
      <w:proofErr w:type="spellEnd"/>
      <w:r w:rsidRPr="00F343D3">
        <w:rPr>
          <w:rFonts w:ascii="Times New Roman" w:hAnsi="Times New Roman" w:cs="Times New Roman"/>
          <w:color w:val="000000" w:themeColor="text1"/>
          <w:lang w:val="en-GB"/>
        </w:rPr>
        <w:t xml:space="preserve">, E., Rumpel, C., &amp; McKenna, B. A. (2023). </w:t>
      </w:r>
      <w:r w:rsidRPr="00032AD9">
        <w:rPr>
          <w:rFonts w:ascii="Times New Roman" w:hAnsi="Times New Roman" w:cs="Times New Roman"/>
          <w:color w:val="000000" w:themeColor="text1"/>
          <w:lang w:val="sr-Cyrl"/>
        </w:rPr>
        <w:t xml:space="preserve">Healthy soil for healthy humans and a healthy planet. Critical Reviews in Environmental Science and Technology, 54(3), 210–221. </w:t>
      </w:r>
      <w:r>
        <w:fldChar w:fldCharType="begin"/>
      </w:r>
      <w:r w:rsidRPr="00F343D3">
        <w:rPr>
          <w:lang w:val="en-GB"/>
        </w:rPr>
        <w:instrText>HYPERLINK "https://doi.org/10.1080/10643389.2023.2228651"</w:instrText>
      </w:r>
      <w:r>
        <w:fldChar w:fldCharType="separate"/>
      </w:r>
      <w:r w:rsidRPr="00032AD9">
        <w:rPr>
          <w:rStyle w:val="Hyperlink"/>
          <w:rFonts w:ascii="Times New Roman" w:hAnsi="Times New Roman" w:cs="Times New Roman"/>
          <w:lang w:val="sr-Cyrl"/>
        </w:rPr>
        <w:t>https://doi.org/10.1080/10643389.2023.2228651</w:t>
      </w:r>
      <w:r>
        <w:fldChar w:fldCharType="end"/>
      </w:r>
      <w:r w:rsidRPr="00032AD9">
        <w:rPr>
          <w:rFonts w:ascii="Times New Roman" w:hAnsi="Times New Roman" w:cs="Times New Roman"/>
          <w:color w:val="000000" w:themeColor="text1"/>
          <w:lang w:val="sr-Cyrl"/>
        </w:rPr>
        <w:t>.</w:t>
      </w:r>
    </w:p>
    <w:p w14:paraId="46BEDADB" w14:textId="3F3CC20B" w:rsidR="00E03E8D" w:rsidRPr="00032AD9" w:rsidRDefault="00E03E8D" w:rsidP="003B4948">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NSRI Staff (2011). Glossary of Soil-Related Terms. 9pp. NSRI, Cranfield University, UK,</w:t>
      </w:r>
      <w:r w:rsidRPr="00032AD9">
        <w:rPr>
          <w:lang w:val="sr-Cyrl"/>
        </w:rPr>
        <w:t xml:space="preserve"> </w:t>
      </w:r>
      <w:hyperlink r:id="rId18" w:history="1">
        <w:r w:rsidRPr="00032AD9">
          <w:rPr>
            <w:rStyle w:val="Hyperlink"/>
            <w:rFonts w:ascii="Times New Roman" w:hAnsi="Times New Roman" w:cs="Times New Roman"/>
            <w:lang w:val="sr-Cyrl"/>
          </w:rPr>
          <w:t>https://www.landis.org.uk/downloads/downloads/Glossary.pdf</w:t>
        </w:r>
      </w:hyperlink>
    </w:p>
    <w:p w14:paraId="22DED156" w14:textId="77777777" w:rsidR="00DD73DC" w:rsidRPr="00032AD9" w:rsidRDefault="00DD73DC" w:rsidP="003B4948">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da-DK"/>
        </w:rPr>
        <w:t xml:space="preserve">Reiff, J., Jungkunst, H.F., Mauser, K.M. et al. </w:t>
      </w:r>
      <w:r w:rsidRPr="00032AD9">
        <w:rPr>
          <w:rFonts w:ascii="Times New Roman" w:hAnsi="Times New Roman" w:cs="Times New Roman"/>
          <w:color w:val="000000" w:themeColor="text1"/>
          <w:lang w:val="sr-Cyrl"/>
        </w:rPr>
        <w:t xml:space="preserve">(2024). Permaculture enhances carbon stocks, soil quality and biodiversity in Central Europe. Commun Earth Environ 5, 305. </w:t>
      </w:r>
      <w:r>
        <w:fldChar w:fldCharType="begin"/>
      </w:r>
      <w:r>
        <w:instrText>HYPERLINK "https://doi.org/10.1038/s43247-024-01405-8"</w:instrText>
      </w:r>
      <w:r>
        <w:fldChar w:fldCharType="separate"/>
      </w:r>
      <w:r w:rsidRPr="00032AD9">
        <w:rPr>
          <w:rStyle w:val="Hyperlink"/>
          <w:rFonts w:ascii="Times New Roman" w:hAnsi="Times New Roman" w:cs="Times New Roman"/>
          <w:lang w:val="sr-Cyrl"/>
        </w:rPr>
        <w:t>https://doi.org/10.1038/s43247-024-01405-8</w:t>
      </w:r>
      <w:r>
        <w:fldChar w:fldCharType="end"/>
      </w:r>
      <w:r w:rsidRPr="00032AD9">
        <w:rPr>
          <w:rFonts w:ascii="Times New Roman" w:hAnsi="Times New Roman" w:cs="Times New Roman"/>
          <w:color w:val="000000" w:themeColor="text1"/>
          <w:lang w:val="sr-Cyrl"/>
        </w:rPr>
        <w:t xml:space="preserve">. </w:t>
      </w:r>
    </w:p>
    <w:p w14:paraId="5911988C" w14:textId="5672D5D4" w:rsidR="003F1C18" w:rsidRPr="00032AD9" w:rsidRDefault="003F1C18" w:rsidP="003B4948">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pl-PL"/>
        </w:rPr>
        <w:t xml:space="preserve">Bednarek, R., Skiba, S. (2015). Czynniki i procesy glebotwórcze. </w:t>
      </w:r>
      <w:r w:rsidRPr="00032AD9">
        <w:rPr>
          <w:rFonts w:ascii="Times New Roman" w:hAnsi="Times New Roman" w:cs="Times New Roman"/>
          <w:color w:val="000000" w:themeColor="text1"/>
          <w:lang w:val="sr-Cyrl"/>
        </w:rPr>
        <w:t>Chapt 3 in: Mocek A. (Ed). Gleboznawstwo. PWN, Warszawa, Poland.</w:t>
      </w:r>
    </w:p>
    <w:p w14:paraId="13161791" w14:textId="77777777" w:rsidR="002A67F8" w:rsidRPr="00032AD9" w:rsidRDefault="00AF434D" w:rsidP="00AE11B5">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W.E.H. Blum, W.E.H., Schad, P., Nortcliff, S. (2018). Essentials of soil science. Borntraeger Science Publishers, Stuttgart.</w:t>
      </w:r>
    </w:p>
    <w:p w14:paraId="5192CDF2" w14:textId="10D24064" w:rsidR="00AE11B5" w:rsidRPr="00032AD9" w:rsidRDefault="00AE11B5" w:rsidP="00AE11B5">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pl-PL"/>
        </w:rPr>
        <w:t xml:space="preserve">Kocira, A., Staniak, M., Tomaszewska, M., Kornas, R., Cymerman, J., Panasiewicz, K., &amp; Lipińska, H. (2020). </w:t>
      </w:r>
      <w:r w:rsidRPr="00032AD9">
        <w:rPr>
          <w:rFonts w:ascii="Times New Roman" w:hAnsi="Times New Roman" w:cs="Times New Roman"/>
          <w:color w:val="000000" w:themeColor="text1"/>
          <w:lang w:val="sr-Cyrl"/>
        </w:rPr>
        <w:t>Legume Cover Crops as One of the Elements of Strategic Weed Management and Soil Quality Improvement. A Review. Agriculture. DOI:</w:t>
      </w:r>
      <w:r w:rsidRPr="00032AD9">
        <w:rPr>
          <w:lang w:val="sr-Cyrl"/>
        </w:rPr>
        <w:t xml:space="preserve"> </w:t>
      </w:r>
      <w:hyperlink r:id="rId19" w:history="1">
        <w:r w:rsidRPr="00032AD9">
          <w:rPr>
            <w:rStyle w:val="Hyperlink"/>
            <w:rFonts w:ascii="Times New Roman" w:hAnsi="Times New Roman" w:cs="Times New Roman"/>
            <w:lang w:val="sr-Cyrl"/>
          </w:rPr>
          <w:t>https://doi.org/10.3390/agriculture10090394</w:t>
        </w:r>
      </w:hyperlink>
      <w:r w:rsidRPr="00032AD9">
        <w:rPr>
          <w:rFonts w:ascii="Times New Roman" w:hAnsi="Times New Roman" w:cs="Times New Roman"/>
          <w:color w:val="000000" w:themeColor="text1"/>
          <w:lang w:val="sr-Cyrl"/>
        </w:rPr>
        <w:t>.</w:t>
      </w:r>
    </w:p>
    <w:p w14:paraId="07F3A691" w14:textId="0E81F9B7" w:rsidR="00AE11B5" w:rsidRPr="00032AD9" w:rsidRDefault="00AE11B5" w:rsidP="00AE11B5">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 xml:space="preserve">Sharma, P., Singh, A., Kahlon, C.S., Brar, A.S., Grover, K., Dia, M., &amp; Steiner, R.L. (2018). The Role of Cover Crops towards Sustainable Soil Health and Agriculture—A Review Paper. American Journal of Plant Sciences, 09, 1935-1951. DOI: </w:t>
      </w:r>
      <w:r>
        <w:fldChar w:fldCharType="begin"/>
      </w:r>
      <w:r w:rsidRPr="00F343D3">
        <w:rPr>
          <w:lang w:val="en-GB"/>
        </w:rPr>
        <w:instrText>HYPERLINK "https://doi.org/10.4236/AJPS.2018.99140"</w:instrText>
      </w:r>
      <w:r>
        <w:fldChar w:fldCharType="separate"/>
      </w:r>
      <w:r w:rsidRPr="00032AD9">
        <w:rPr>
          <w:rStyle w:val="Hyperlink"/>
          <w:rFonts w:ascii="Times New Roman" w:hAnsi="Times New Roman" w:cs="Times New Roman"/>
          <w:lang w:val="sr-Cyrl"/>
        </w:rPr>
        <w:t>https://doi.org/10.4236/AJPS.2018.99140</w:t>
      </w:r>
      <w:r>
        <w:fldChar w:fldCharType="end"/>
      </w:r>
      <w:r w:rsidRPr="00032AD9">
        <w:rPr>
          <w:rFonts w:ascii="Times New Roman" w:hAnsi="Times New Roman" w:cs="Times New Roman"/>
          <w:color w:val="000000" w:themeColor="text1"/>
          <w:lang w:val="sr-Cyrl"/>
        </w:rPr>
        <w:t>.</w:t>
      </w:r>
    </w:p>
    <w:p w14:paraId="2949C080" w14:textId="77777777" w:rsidR="00B54C32" w:rsidRPr="00032AD9" w:rsidRDefault="00B54C32" w:rsidP="00AE11B5">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Molles, M. C. (2016). Ecology: concepts and applications. Seventh edition. New York, NY, McGraw-Hill Education.</w:t>
      </w:r>
    </w:p>
    <w:p w14:paraId="0D6AAE58" w14:textId="77777777" w:rsidR="00A561D2" w:rsidRPr="00032AD9" w:rsidRDefault="00A561D2" w:rsidP="00AE11B5">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Cunningham, W.P., and Cunningham</w:t>
      </w:r>
      <w:r w:rsidR="00B54C32" w:rsidRPr="00032AD9">
        <w:rPr>
          <w:rFonts w:ascii="Times New Roman" w:hAnsi="Times New Roman" w:cs="Times New Roman"/>
          <w:color w:val="000000" w:themeColor="text1"/>
          <w:lang w:val="sr-Cyrl"/>
        </w:rPr>
        <w:t>, M.A. (2002).</w:t>
      </w:r>
      <w:r w:rsidRPr="00032AD9">
        <w:rPr>
          <w:rFonts w:ascii="Times New Roman" w:hAnsi="Times New Roman" w:cs="Times New Roman"/>
          <w:color w:val="000000" w:themeColor="text1"/>
          <w:lang w:val="sr-Cyrl"/>
        </w:rPr>
        <w:t xml:space="preserve"> Principles of Environmental Science: Inquiry and Applications. McGraw-Hill.</w:t>
      </w:r>
    </w:p>
    <w:p w14:paraId="50AF1027" w14:textId="0CA233CB" w:rsidR="00B54C32" w:rsidRPr="00032AD9" w:rsidRDefault="00B54C32" w:rsidP="00AE11B5">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lastRenderedPageBreak/>
        <w:t>Diekmann, M., Andres, C., Becker, T., Bennie, J.J., Blüml, V., Bullock, J.M., Culmsee, H., Fanigliulo, M., Hahn, A., Heinken, T., Leuschner, C., Luka, S., Meissner, J., Müller, J., Newton, A.C., Peppler‐Lisbach, C., Rosenthal, G., van den Berg, L.J., Vergeer, P., &amp; Wesche, K. (2019). Patterns of long‐term vegetation change vary between different types of semi‐natural grasslands in Western and Central Europe. Journal of Vegetation Science, 30, 187–202.</w:t>
      </w:r>
      <w:r w:rsidR="0000122B" w:rsidRPr="00032AD9">
        <w:rPr>
          <w:rFonts w:ascii="Times New Roman" w:hAnsi="Times New Roman" w:cs="Times New Roman"/>
          <w:color w:val="000000" w:themeColor="text1"/>
          <w:lang w:val="sr-Cyrl"/>
        </w:rPr>
        <w:t xml:space="preserve"> DOI:</w:t>
      </w:r>
      <w:r w:rsidR="0000122B" w:rsidRPr="00032AD9">
        <w:rPr>
          <w:rFonts w:ascii="Times New Roman" w:hAnsi="Times New Roman" w:cs="Times New Roman"/>
          <w:lang w:val="sr-Cyrl"/>
        </w:rPr>
        <w:t xml:space="preserve"> </w:t>
      </w:r>
      <w:hyperlink r:id="rId20" w:history="1">
        <w:r w:rsidR="0000122B" w:rsidRPr="00032AD9">
          <w:rPr>
            <w:rStyle w:val="Hyperlink"/>
            <w:rFonts w:ascii="Times New Roman" w:hAnsi="Times New Roman" w:cs="Times New Roman"/>
            <w:lang w:val="sr-Cyrl"/>
          </w:rPr>
          <w:t>https://doi.org/10.1111/jvs.12727</w:t>
        </w:r>
      </w:hyperlink>
      <w:r w:rsidR="0000122B" w:rsidRPr="00032AD9">
        <w:rPr>
          <w:rFonts w:ascii="Times New Roman" w:hAnsi="Times New Roman" w:cs="Times New Roman"/>
          <w:color w:val="000000" w:themeColor="text1"/>
          <w:lang w:val="sr-Cyrl"/>
        </w:rPr>
        <w:t>.</w:t>
      </w:r>
    </w:p>
    <w:p w14:paraId="670B8C1F" w14:textId="45A9A240" w:rsidR="0000122B" w:rsidRPr="00032AD9" w:rsidRDefault="0000122B" w:rsidP="00AE11B5">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 xml:space="preserve">Medina-Álvarez, E., and Sánchez-Medina, P.S. (2023). Types of organizational culture and sustainability in ecotourism businesses in southern Mexico. Journal of Economics, Finance and Administrative Science. DOI: </w:t>
      </w:r>
      <w:r>
        <w:fldChar w:fldCharType="begin"/>
      </w:r>
      <w:r w:rsidRPr="00F343D3">
        <w:rPr>
          <w:lang w:val="en-GB"/>
        </w:rPr>
        <w:instrText>HYPERLINK "https://doi.org/10.1108/jefas-12-2021-0267"</w:instrText>
      </w:r>
      <w:r>
        <w:fldChar w:fldCharType="separate"/>
      </w:r>
      <w:r w:rsidRPr="00032AD9">
        <w:rPr>
          <w:rStyle w:val="Hyperlink"/>
          <w:rFonts w:ascii="Times New Roman" w:hAnsi="Times New Roman" w:cs="Times New Roman"/>
          <w:lang w:val="sr-Cyrl"/>
        </w:rPr>
        <w:t>https://doi.org/10.1108/jefas-12-2021-0267</w:t>
      </w:r>
      <w:r>
        <w:fldChar w:fldCharType="end"/>
      </w:r>
      <w:r w:rsidRPr="00032AD9">
        <w:rPr>
          <w:rFonts w:ascii="Times New Roman" w:hAnsi="Times New Roman" w:cs="Times New Roman"/>
          <w:color w:val="000000" w:themeColor="text1"/>
          <w:lang w:val="sr-Cyrl"/>
        </w:rPr>
        <w:t>.</w:t>
      </w:r>
    </w:p>
    <w:p w14:paraId="410B66F1" w14:textId="17C2513C" w:rsidR="00D33ED2" w:rsidRPr="00032AD9" w:rsidRDefault="00D33ED2" w:rsidP="00AE11B5">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 xml:space="preserve">Johnson, K.L., Stone, W., Dominelli, L., Chivasa, S., Clarke, C.E., Gwandu, T., &amp; Appleby, J. (2023). Boosting soil literacy in schools can help improve understanding of soil/human health linkages in Generation Z. Frontiers in Environmental Science, vol. 10, 1-12. DOI: </w:t>
      </w:r>
      <w:r>
        <w:fldChar w:fldCharType="begin"/>
      </w:r>
      <w:r>
        <w:instrText>HYPERLINK "https://doi.org/10.3389/fenvs.2022.1028839"</w:instrText>
      </w:r>
      <w:r>
        <w:fldChar w:fldCharType="separate"/>
      </w:r>
      <w:r w:rsidRPr="00032AD9">
        <w:rPr>
          <w:rStyle w:val="Hyperlink"/>
          <w:rFonts w:ascii="Times New Roman" w:hAnsi="Times New Roman" w:cs="Times New Roman"/>
          <w:lang w:val="sr-Cyrl"/>
        </w:rPr>
        <w:t>https://doi.org/10.3389/fenvs.2022.1028839</w:t>
      </w:r>
      <w:r>
        <w:fldChar w:fldCharType="end"/>
      </w:r>
      <w:r w:rsidRPr="00032AD9">
        <w:rPr>
          <w:rFonts w:ascii="Times New Roman" w:hAnsi="Times New Roman" w:cs="Times New Roman"/>
          <w:color w:val="000000" w:themeColor="text1"/>
          <w:lang w:val="sr-Cyrl"/>
        </w:rPr>
        <w:t>.</w:t>
      </w:r>
    </w:p>
    <w:p w14:paraId="6D78F1AE" w14:textId="77777777" w:rsidR="00CB0D6C" w:rsidRPr="00032AD9" w:rsidRDefault="00CB0D6C" w:rsidP="00AE11B5">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 xml:space="preserve">Levy, R. (2023). Home–school communication: what we have learned from the pandemic. Education 3-13, 52(1), 21–32. </w:t>
      </w:r>
      <w:r w:rsidR="006F7FFC">
        <w:fldChar w:fldCharType="begin"/>
      </w:r>
      <w:r w:rsidR="006F7FFC">
        <w:instrText>HYPERLINK "https://doi.org/10.1080/03004279.2023.2186972"</w:instrText>
      </w:r>
      <w:r w:rsidR="006F7FFC">
        <w:fldChar w:fldCharType="separate"/>
      </w:r>
      <w:r w:rsidR="006F7FFC" w:rsidRPr="00032AD9">
        <w:rPr>
          <w:rStyle w:val="Hyperlink"/>
          <w:rFonts w:ascii="Times New Roman" w:hAnsi="Times New Roman" w:cs="Times New Roman"/>
          <w:lang w:val="sr-Cyrl"/>
        </w:rPr>
        <w:t>https://doi.org/10.1080/03004279.2023.2186972</w:t>
      </w:r>
      <w:r w:rsidR="006F7FFC">
        <w:fldChar w:fldCharType="end"/>
      </w:r>
    </w:p>
    <w:p w14:paraId="53DCA103" w14:textId="3172D9E0" w:rsidR="006F7FFC" w:rsidRPr="00032AD9" w:rsidRDefault="006F7FFC" w:rsidP="00AE11B5">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Social and Behaviour Change Communication</w:t>
      </w:r>
      <w:r w:rsidR="002841B1" w:rsidRPr="00032AD9">
        <w:rPr>
          <w:rFonts w:ascii="Times New Roman" w:hAnsi="Times New Roman" w:cs="Times New Roman"/>
          <w:color w:val="000000" w:themeColor="text1"/>
          <w:lang w:val="sr-Cyrl"/>
        </w:rPr>
        <w:t xml:space="preserve"> (UNICEF). Designing holistic and data-driven communications to enable change. </w:t>
      </w:r>
      <w:hyperlink r:id="rId21" w:history="1">
        <w:r w:rsidR="002841B1" w:rsidRPr="00032AD9">
          <w:rPr>
            <w:rStyle w:val="Hyperlink"/>
            <w:rFonts w:ascii="Times New Roman" w:hAnsi="Times New Roman" w:cs="Times New Roman"/>
            <w:lang w:val="sr-Cyrl"/>
          </w:rPr>
          <w:t>https://www.sbcguidance.org/understand/social-and-behaviour-change-communication</w:t>
        </w:r>
      </w:hyperlink>
      <w:r w:rsidR="002841B1" w:rsidRPr="00032AD9">
        <w:rPr>
          <w:rFonts w:ascii="Times New Roman" w:hAnsi="Times New Roman" w:cs="Times New Roman"/>
          <w:color w:val="000000" w:themeColor="text1"/>
          <w:lang w:val="sr-Cyrl"/>
        </w:rPr>
        <w:t xml:space="preserve"> (Acce</w:t>
      </w:r>
      <w:r w:rsidR="0000609E" w:rsidRPr="00032AD9">
        <w:rPr>
          <w:rFonts w:ascii="Times New Roman" w:hAnsi="Times New Roman" w:cs="Times New Roman"/>
          <w:color w:val="000000" w:themeColor="text1"/>
          <w:lang w:val="sr-Cyrl"/>
        </w:rPr>
        <w:t>s</w:t>
      </w:r>
      <w:r w:rsidR="002841B1" w:rsidRPr="00032AD9">
        <w:rPr>
          <w:rFonts w:ascii="Times New Roman" w:hAnsi="Times New Roman" w:cs="Times New Roman"/>
          <w:color w:val="000000" w:themeColor="text1"/>
          <w:lang w:val="sr-Cyrl"/>
        </w:rPr>
        <w:t>sed: 23.10.2024)</w:t>
      </w:r>
    </w:p>
    <w:p w14:paraId="5219D338" w14:textId="7C3FC629" w:rsidR="002841B1" w:rsidRPr="00032AD9" w:rsidRDefault="002841B1" w:rsidP="00AE11B5">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Crawfoord, J. (2021).</w:t>
      </w:r>
      <w:r w:rsidRPr="00032AD9">
        <w:rPr>
          <w:rFonts w:ascii="Times New Roman" w:hAnsi="Times New Roman" w:cs="Times New Roman"/>
          <w:lang w:val="sr-Cyrl"/>
        </w:rPr>
        <w:t xml:space="preserve"> </w:t>
      </w:r>
      <w:r w:rsidR="00AD37EC" w:rsidRPr="00032AD9">
        <w:rPr>
          <w:rFonts w:ascii="Times New Roman" w:hAnsi="Times New Roman" w:cs="Times New Roman"/>
          <w:lang w:val="sr-Cyrl"/>
        </w:rPr>
        <w:t>1</w:t>
      </w:r>
      <w:r w:rsidRPr="00032AD9">
        <w:rPr>
          <w:rFonts w:ascii="Times New Roman" w:hAnsi="Times New Roman" w:cs="Times New Roman"/>
          <w:color w:val="000000" w:themeColor="text1"/>
          <w:lang w:val="sr-Cyrl"/>
        </w:rPr>
        <w:t xml:space="preserve">0 </w:t>
      </w:r>
      <w:r w:rsidR="0000609E" w:rsidRPr="00032AD9">
        <w:rPr>
          <w:rFonts w:ascii="Times New Roman" w:hAnsi="Times New Roman" w:cs="Times New Roman"/>
          <w:color w:val="000000" w:themeColor="text1"/>
          <w:lang w:val="sr-Cyrl"/>
        </w:rPr>
        <w:t>new</w:t>
      </w:r>
      <w:r w:rsidRPr="00032AD9">
        <w:rPr>
          <w:rFonts w:ascii="Times New Roman" w:hAnsi="Times New Roman" w:cs="Times New Roman"/>
          <w:color w:val="000000" w:themeColor="text1"/>
          <w:lang w:val="sr-Cyrl"/>
        </w:rPr>
        <w:t xml:space="preserve"> </w:t>
      </w:r>
      <w:r w:rsidR="00AD37EC" w:rsidRPr="00032AD9">
        <w:rPr>
          <w:rFonts w:ascii="Times New Roman" w:hAnsi="Times New Roman" w:cs="Times New Roman"/>
          <w:color w:val="000000" w:themeColor="text1"/>
          <w:lang w:val="sr-Cyrl"/>
        </w:rPr>
        <w:t>w</w:t>
      </w:r>
      <w:r w:rsidRPr="00032AD9">
        <w:rPr>
          <w:rFonts w:ascii="Times New Roman" w:hAnsi="Times New Roman" w:cs="Times New Roman"/>
          <w:color w:val="000000" w:themeColor="text1"/>
          <w:lang w:val="sr-Cyrl"/>
        </w:rPr>
        <w:t xml:space="preserve">ays to </w:t>
      </w:r>
      <w:r w:rsidR="00AD37EC" w:rsidRPr="00032AD9">
        <w:rPr>
          <w:rFonts w:ascii="Times New Roman" w:hAnsi="Times New Roman" w:cs="Times New Roman"/>
          <w:color w:val="000000" w:themeColor="text1"/>
          <w:lang w:val="sr-Cyrl"/>
        </w:rPr>
        <w:t>c</w:t>
      </w:r>
      <w:r w:rsidRPr="00032AD9">
        <w:rPr>
          <w:rFonts w:ascii="Times New Roman" w:hAnsi="Times New Roman" w:cs="Times New Roman"/>
          <w:color w:val="000000" w:themeColor="text1"/>
          <w:lang w:val="sr-Cyrl"/>
        </w:rPr>
        <w:t xml:space="preserve">ommunicate in </w:t>
      </w:r>
      <w:r w:rsidR="00AD37EC" w:rsidRPr="00032AD9">
        <w:rPr>
          <w:rFonts w:ascii="Times New Roman" w:hAnsi="Times New Roman" w:cs="Times New Roman"/>
          <w:color w:val="000000" w:themeColor="text1"/>
          <w:lang w:val="sr-Cyrl"/>
        </w:rPr>
        <w:t>t</w:t>
      </w:r>
      <w:r w:rsidRPr="00032AD9">
        <w:rPr>
          <w:rFonts w:ascii="Times New Roman" w:hAnsi="Times New Roman" w:cs="Times New Roman"/>
          <w:color w:val="000000" w:themeColor="text1"/>
          <w:lang w:val="sr-Cyrl"/>
        </w:rPr>
        <w:t xml:space="preserve">he </w:t>
      </w:r>
      <w:r w:rsidR="00AD37EC" w:rsidRPr="00032AD9">
        <w:rPr>
          <w:rFonts w:ascii="Times New Roman" w:hAnsi="Times New Roman" w:cs="Times New Roman"/>
          <w:color w:val="000000" w:themeColor="text1"/>
          <w:lang w:val="sr-Cyrl"/>
        </w:rPr>
        <w:t>a</w:t>
      </w:r>
      <w:r w:rsidRPr="00032AD9">
        <w:rPr>
          <w:rFonts w:ascii="Times New Roman" w:hAnsi="Times New Roman" w:cs="Times New Roman"/>
          <w:color w:val="000000" w:themeColor="text1"/>
          <w:lang w:val="sr-Cyrl"/>
        </w:rPr>
        <w:t xml:space="preserve">ge </w:t>
      </w:r>
      <w:r w:rsidR="00AD37EC" w:rsidRPr="00032AD9">
        <w:rPr>
          <w:rFonts w:ascii="Times New Roman" w:hAnsi="Times New Roman" w:cs="Times New Roman"/>
          <w:color w:val="000000" w:themeColor="text1"/>
          <w:lang w:val="sr-Cyrl"/>
        </w:rPr>
        <w:t>o</w:t>
      </w:r>
      <w:r w:rsidRPr="00032AD9">
        <w:rPr>
          <w:rFonts w:ascii="Times New Roman" w:hAnsi="Times New Roman" w:cs="Times New Roman"/>
          <w:color w:val="000000" w:themeColor="text1"/>
          <w:lang w:val="sr-Cyrl"/>
        </w:rPr>
        <w:t xml:space="preserve">f </w:t>
      </w:r>
      <w:r w:rsidR="00AD37EC" w:rsidRPr="00032AD9">
        <w:rPr>
          <w:rFonts w:ascii="Times New Roman" w:hAnsi="Times New Roman" w:cs="Times New Roman"/>
          <w:color w:val="000000" w:themeColor="text1"/>
          <w:lang w:val="sr-Cyrl"/>
        </w:rPr>
        <w:t>d</w:t>
      </w:r>
      <w:r w:rsidRPr="00032AD9">
        <w:rPr>
          <w:rFonts w:ascii="Times New Roman" w:hAnsi="Times New Roman" w:cs="Times New Roman"/>
          <w:color w:val="000000" w:themeColor="text1"/>
          <w:lang w:val="sr-Cyrl"/>
        </w:rPr>
        <w:t xml:space="preserve">igital </w:t>
      </w:r>
      <w:r w:rsidR="00AD37EC" w:rsidRPr="00032AD9">
        <w:rPr>
          <w:rFonts w:ascii="Times New Roman" w:hAnsi="Times New Roman" w:cs="Times New Roman"/>
          <w:color w:val="000000" w:themeColor="text1"/>
          <w:lang w:val="sr-Cyrl"/>
        </w:rPr>
        <w:t>t</w:t>
      </w:r>
      <w:r w:rsidRPr="00032AD9">
        <w:rPr>
          <w:rFonts w:ascii="Times New Roman" w:hAnsi="Times New Roman" w:cs="Times New Roman"/>
          <w:color w:val="000000" w:themeColor="text1"/>
          <w:lang w:val="sr-Cyrl"/>
        </w:rPr>
        <w:t xml:space="preserve">echnology. </w:t>
      </w:r>
      <w:hyperlink r:id="rId22" w:history="1">
        <w:r w:rsidRPr="00032AD9">
          <w:rPr>
            <w:rStyle w:val="Hyperlink"/>
            <w:rFonts w:ascii="Times New Roman" w:hAnsi="Times New Roman" w:cs="Times New Roman"/>
            <w:lang w:val="sr-Cyrl"/>
          </w:rPr>
          <w:t>https://techresearchonline.com/blog/10-new-ways-to-communicate-digitally-age-of-digital-technology/</w:t>
        </w:r>
      </w:hyperlink>
      <w:r w:rsidRPr="00032AD9">
        <w:rPr>
          <w:rFonts w:ascii="Times New Roman" w:hAnsi="Times New Roman" w:cs="Times New Roman"/>
          <w:color w:val="000000" w:themeColor="text1"/>
          <w:lang w:val="sr-Cyrl"/>
        </w:rPr>
        <w:t xml:space="preserve"> (</w:t>
      </w:r>
      <w:bookmarkStart w:id="4" w:name="_Hlk180708377"/>
      <w:r w:rsidRPr="00032AD9">
        <w:rPr>
          <w:rFonts w:ascii="Times New Roman" w:hAnsi="Times New Roman" w:cs="Times New Roman"/>
          <w:color w:val="000000" w:themeColor="text1"/>
          <w:lang w:val="sr-Cyrl"/>
        </w:rPr>
        <w:t>Acces</w:t>
      </w:r>
      <w:r w:rsidR="0000609E" w:rsidRPr="00032AD9">
        <w:rPr>
          <w:rFonts w:ascii="Times New Roman" w:hAnsi="Times New Roman" w:cs="Times New Roman"/>
          <w:color w:val="000000" w:themeColor="text1"/>
          <w:lang w:val="sr-Cyrl"/>
        </w:rPr>
        <w:t>s</w:t>
      </w:r>
      <w:r w:rsidRPr="00032AD9">
        <w:rPr>
          <w:rFonts w:ascii="Times New Roman" w:hAnsi="Times New Roman" w:cs="Times New Roman"/>
          <w:color w:val="000000" w:themeColor="text1"/>
          <w:lang w:val="sr-Cyrl"/>
        </w:rPr>
        <w:t>ed: 23.10.2024</w:t>
      </w:r>
      <w:bookmarkEnd w:id="4"/>
      <w:r w:rsidRPr="00032AD9">
        <w:rPr>
          <w:rFonts w:ascii="Times New Roman" w:hAnsi="Times New Roman" w:cs="Times New Roman"/>
          <w:color w:val="000000" w:themeColor="text1"/>
          <w:lang w:val="sr-Cyrl"/>
        </w:rPr>
        <w:t>)</w:t>
      </w:r>
      <w:r w:rsidR="000666CF" w:rsidRPr="00032AD9">
        <w:rPr>
          <w:rFonts w:ascii="Times New Roman" w:hAnsi="Times New Roman" w:cs="Times New Roman"/>
          <w:color w:val="000000" w:themeColor="text1"/>
          <w:lang w:val="sr-Cyrl"/>
        </w:rPr>
        <w:t>.</w:t>
      </w:r>
    </w:p>
    <w:p w14:paraId="43C8F119" w14:textId="14B3386D" w:rsidR="00BE5454" w:rsidRPr="00032AD9" w:rsidRDefault="00BE5454" w:rsidP="00AE11B5">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it-IT"/>
        </w:rPr>
        <w:t xml:space="preserve">Chandler, E., Ignagni, E., &amp; Collins, K. (2021). </w:t>
      </w:r>
      <w:r w:rsidRPr="00032AD9">
        <w:rPr>
          <w:rFonts w:ascii="Times New Roman" w:hAnsi="Times New Roman" w:cs="Times New Roman"/>
          <w:color w:val="000000" w:themeColor="text1"/>
          <w:lang w:val="sr-Cyrl"/>
        </w:rPr>
        <w:t>Communicating access, accessing</w:t>
      </w:r>
      <w:r w:rsidR="003036C6" w:rsidRPr="00032AD9">
        <w:rPr>
          <w:rFonts w:ascii="Times New Roman" w:hAnsi="Times New Roman" w:cs="Times New Roman"/>
          <w:color w:val="000000" w:themeColor="text1"/>
          <w:lang w:val="sr-Cyrl"/>
        </w:rPr>
        <w:t xml:space="preserve"> </w:t>
      </w:r>
      <w:r w:rsidRPr="00032AD9">
        <w:rPr>
          <w:rFonts w:ascii="Times New Roman" w:hAnsi="Times New Roman" w:cs="Times New Roman"/>
          <w:color w:val="000000" w:themeColor="text1"/>
          <w:lang w:val="sr-Cyrl"/>
        </w:rPr>
        <w:t>communication. Studies in Social Justice, 15(2), 230-238.</w:t>
      </w:r>
      <w:r w:rsidRPr="00032AD9">
        <w:rPr>
          <w:lang w:val="sr-Cyrl"/>
        </w:rPr>
        <w:t xml:space="preserve"> </w:t>
      </w:r>
      <w:hyperlink r:id="rId23" w:history="1">
        <w:r w:rsidRPr="00032AD9">
          <w:rPr>
            <w:rStyle w:val="Hyperlink"/>
            <w:rFonts w:ascii="Times New Roman" w:hAnsi="Times New Roman" w:cs="Times New Roman"/>
            <w:lang w:val="sr-Cyrl"/>
          </w:rPr>
          <w:t>https://doi.org/10.26522/ssj.v15i2.2657</w:t>
        </w:r>
      </w:hyperlink>
      <w:r w:rsidRPr="00032AD9">
        <w:rPr>
          <w:rFonts w:ascii="Times New Roman" w:hAnsi="Times New Roman" w:cs="Times New Roman"/>
          <w:color w:val="000000" w:themeColor="text1"/>
          <w:lang w:val="sr-Cyrl"/>
        </w:rPr>
        <w:t>.</w:t>
      </w:r>
    </w:p>
    <w:p w14:paraId="0ED61930" w14:textId="3A8867F8" w:rsidR="00392C41" w:rsidRPr="00032AD9" w:rsidRDefault="00392C41" w:rsidP="00392C41">
      <w:pPr>
        <w:pStyle w:val="ListParagraph"/>
        <w:numPr>
          <w:ilvl w:val="0"/>
          <w:numId w:val="1"/>
        </w:numPr>
        <w:ind w:left="426" w:hanging="426"/>
        <w:jc w:val="both"/>
        <w:rPr>
          <w:rFonts w:ascii="Times New Roman" w:hAnsi="Times New Roman" w:cs="Times New Roman"/>
          <w:color w:val="000000" w:themeColor="text1"/>
          <w:lang w:val="en-GB"/>
        </w:rPr>
      </w:pPr>
      <w:hyperlink r:id="rId24" w:history="1">
        <w:r w:rsidRPr="00032AD9">
          <w:rPr>
            <w:rStyle w:val="Hyperlink"/>
            <w:rFonts w:ascii="Times New Roman" w:hAnsi="Times New Roman" w:cs="Times New Roman"/>
            <w:lang w:val="sr-Cyrl"/>
          </w:rPr>
          <w:t>https://www.oed.com/search/dictionary</w:t>
        </w:r>
      </w:hyperlink>
    </w:p>
    <w:p w14:paraId="4690F664" w14:textId="77777777" w:rsidR="00392C41" w:rsidRPr="00032AD9" w:rsidRDefault="00392C41" w:rsidP="00392C41">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Trevithick, PA. (2000). Social Work Skills: A Practice Handbook. Open University Press.</w:t>
      </w:r>
    </w:p>
    <w:p w14:paraId="42493DC2" w14:textId="5F2A7E35" w:rsidR="000666CF" w:rsidRPr="00032AD9" w:rsidRDefault="000666CF" w:rsidP="00392C41">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World Health Organisation (2011). World Report on Disability 2011.</w:t>
      </w:r>
      <w:r w:rsidRPr="00032AD9">
        <w:rPr>
          <w:lang w:val="sr-Cyrl"/>
        </w:rPr>
        <w:t xml:space="preserve"> </w:t>
      </w:r>
      <w:hyperlink r:id="rId25" w:history="1">
        <w:r w:rsidRPr="00032AD9">
          <w:rPr>
            <w:rStyle w:val="Hyperlink"/>
            <w:rFonts w:ascii="Times New Roman" w:hAnsi="Times New Roman" w:cs="Times New Roman"/>
          </w:rPr>
          <w:t>https://www.who.int/teams/noncommunicable-diseases/sensory-functions-disability-and-rehabilitation/world-report-on-disability</w:t>
        </w:r>
      </w:hyperlink>
      <w:r w:rsidRPr="00032AD9">
        <w:rPr>
          <w:rFonts w:ascii="Times New Roman" w:hAnsi="Times New Roman" w:cs="Times New Roman"/>
          <w:color w:val="000000" w:themeColor="text1"/>
        </w:rPr>
        <w:t xml:space="preserve">. </w:t>
      </w:r>
      <w:r w:rsidRPr="00032AD9">
        <w:rPr>
          <w:rFonts w:ascii="Times New Roman" w:hAnsi="Times New Roman" w:cs="Times New Roman"/>
          <w:color w:val="000000" w:themeColor="text1"/>
          <w:lang w:val="sr-Cyrl"/>
        </w:rPr>
        <w:t>(Acce</w:t>
      </w:r>
      <w:r w:rsidR="0000609E" w:rsidRPr="00032AD9">
        <w:rPr>
          <w:rFonts w:ascii="Times New Roman" w:hAnsi="Times New Roman" w:cs="Times New Roman"/>
          <w:color w:val="000000" w:themeColor="text1"/>
          <w:lang w:val="sr-Cyrl"/>
        </w:rPr>
        <w:t>s</w:t>
      </w:r>
      <w:r w:rsidRPr="00032AD9">
        <w:rPr>
          <w:rFonts w:ascii="Times New Roman" w:hAnsi="Times New Roman" w:cs="Times New Roman"/>
          <w:color w:val="000000" w:themeColor="text1"/>
          <w:lang w:val="sr-Cyrl"/>
        </w:rPr>
        <w:t>sed: 23.10.2024).</w:t>
      </w:r>
    </w:p>
    <w:p w14:paraId="39E51A01" w14:textId="1E1D253E" w:rsidR="00B6198C" w:rsidRPr="00032AD9" w:rsidRDefault="00B6198C" w:rsidP="00AE2113">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 xml:space="preserve">What is transdisciplinary research, Utrecht University. </w:t>
      </w:r>
      <w:hyperlink r:id="rId26" w:history="1">
        <w:r w:rsidRPr="00032AD9">
          <w:rPr>
            <w:rStyle w:val="Hyperlink"/>
            <w:rFonts w:ascii="Times New Roman" w:hAnsi="Times New Roman" w:cs="Times New Roman"/>
            <w:lang w:val="sr-Cyrl"/>
          </w:rPr>
          <w:t>https://www.uu.nl/en/research/transdisciplinary-field-guide/get-started/what-is-transdisciplinary-research</w:t>
        </w:r>
      </w:hyperlink>
      <w:r w:rsidRPr="00032AD9">
        <w:rPr>
          <w:rFonts w:ascii="Times New Roman" w:hAnsi="Times New Roman" w:cs="Times New Roman"/>
          <w:color w:val="000000" w:themeColor="text1"/>
          <w:lang w:val="sr-Cyrl"/>
        </w:rPr>
        <w:t xml:space="preserve"> (Acce</w:t>
      </w:r>
      <w:r w:rsidR="0000609E" w:rsidRPr="00032AD9">
        <w:rPr>
          <w:rFonts w:ascii="Times New Roman" w:hAnsi="Times New Roman" w:cs="Times New Roman"/>
          <w:color w:val="000000" w:themeColor="text1"/>
          <w:lang w:val="sr-Cyrl"/>
        </w:rPr>
        <w:t>s</w:t>
      </w:r>
      <w:r w:rsidRPr="00032AD9">
        <w:rPr>
          <w:rFonts w:ascii="Times New Roman" w:hAnsi="Times New Roman" w:cs="Times New Roman"/>
          <w:color w:val="000000" w:themeColor="text1"/>
          <w:lang w:val="sr-Cyrl"/>
        </w:rPr>
        <w:t>sed: 23.10.2024).</w:t>
      </w:r>
    </w:p>
    <w:p w14:paraId="65A56D86" w14:textId="42BF246C" w:rsidR="00AE2113" w:rsidRPr="00032AD9" w:rsidRDefault="003036C6" w:rsidP="00AE2113">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Newell, W. H. (2001). A Theory of Interdisciplinary Studies. Issues in Integrative Studies, 19, 1-24.</w:t>
      </w:r>
      <w:r w:rsidRPr="00032AD9">
        <w:rPr>
          <w:lang w:val="sr-Cyrl"/>
        </w:rPr>
        <w:t xml:space="preserve"> </w:t>
      </w:r>
      <w:hyperlink r:id="rId27" w:history="1">
        <w:r w:rsidRPr="00032AD9">
          <w:rPr>
            <w:rStyle w:val="Hyperlink"/>
            <w:rFonts w:ascii="Times New Roman" w:hAnsi="Times New Roman" w:cs="Times New Roman"/>
            <w:lang w:val="sr-Cyrl"/>
          </w:rPr>
          <w:t>https://web.mit.edu/jrankin/www/interdisciplinary/interdisc_Newell.pdf</w:t>
        </w:r>
      </w:hyperlink>
      <w:r w:rsidRPr="00032AD9">
        <w:rPr>
          <w:rFonts w:ascii="Times New Roman" w:hAnsi="Times New Roman" w:cs="Times New Roman"/>
          <w:color w:val="000000" w:themeColor="text1"/>
          <w:lang w:val="sr-Cyrl"/>
        </w:rPr>
        <w:t>.</w:t>
      </w:r>
    </w:p>
    <w:p w14:paraId="531C33A4" w14:textId="1CC3CBA1" w:rsidR="003036C6" w:rsidRPr="00032AD9" w:rsidRDefault="00AE2113" w:rsidP="00AE2113">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Resh, H.M. and Howard, M. (2012)</w:t>
      </w:r>
      <w:r w:rsidR="00430B8F" w:rsidRPr="00032AD9">
        <w:rPr>
          <w:rFonts w:ascii="Times New Roman" w:hAnsi="Times New Roman" w:cs="Times New Roman"/>
          <w:color w:val="000000" w:themeColor="text1"/>
          <w:lang w:val="sr-Cyrl"/>
        </w:rPr>
        <w:t>.</w:t>
      </w:r>
      <w:r w:rsidRPr="00032AD9">
        <w:rPr>
          <w:rFonts w:ascii="Times New Roman" w:hAnsi="Times New Roman" w:cs="Times New Roman"/>
          <w:color w:val="000000" w:themeColor="text1"/>
          <w:lang w:val="sr-Cyrl"/>
        </w:rPr>
        <w:t xml:space="preserve"> Hydroponic Food Production: A Definitive Guidebook for the Advanced Home Gardener and the Commercial Hydroponic Grower. CRC Press, Santa Barbara, California.</w:t>
      </w:r>
      <w:r w:rsidR="00430B8F" w:rsidRPr="00032AD9">
        <w:rPr>
          <w:rFonts w:ascii="Times New Roman" w:hAnsi="Times New Roman" w:cs="Times New Roman"/>
          <w:color w:val="000000" w:themeColor="text1"/>
          <w:lang w:val="sr-Cyrl"/>
        </w:rPr>
        <w:t xml:space="preserve"> DOI: </w:t>
      </w:r>
      <w:hyperlink r:id="rId28" w:history="1">
        <w:r w:rsidR="00430B8F" w:rsidRPr="00032AD9">
          <w:rPr>
            <w:rStyle w:val="Hyperlink"/>
            <w:rFonts w:ascii="Times New Roman" w:hAnsi="Times New Roman" w:cs="Times New Roman"/>
            <w:lang w:val="sr-Cyrl"/>
          </w:rPr>
          <w:t>http://dx.doi.org/10.1201/b12500</w:t>
        </w:r>
      </w:hyperlink>
      <w:r w:rsidR="00430B8F" w:rsidRPr="00032AD9">
        <w:rPr>
          <w:rFonts w:ascii="Times New Roman" w:hAnsi="Times New Roman" w:cs="Times New Roman"/>
          <w:color w:val="000000" w:themeColor="text1"/>
          <w:lang w:val="sr-Cyrl"/>
        </w:rPr>
        <w:t>.</w:t>
      </w:r>
    </w:p>
    <w:p w14:paraId="711FCFB3" w14:textId="1DB56EC7" w:rsidR="00BD4C94" w:rsidRPr="00032AD9" w:rsidRDefault="00B43EA9" w:rsidP="00BD4C94">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Adriano, D. C. (2001). Trace Elements in Terrestrial Environments: Biogeochemistry, Bioavailability, and Risks of Metals. Springer.</w:t>
      </w:r>
    </w:p>
    <w:p w14:paraId="7BF5F264" w14:textId="54678D14" w:rsidR="00DB0D05" w:rsidRPr="00032AD9" w:rsidRDefault="00BD4C94" w:rsidP="00BD4C94">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 xml:space="preserve">Gupta, P.K., Goel, M. (2021). Environmental Tracers and Isotopic Techniques: Tools for Sustainable Water Management. In: Adhikary, P.P., Shit, P.K., Santra, P., Bhunia, G.S., Tiwari, A.K., Chaudhary, B.S. (eds) Geostatistics and Geospatial Technologies for Groundwater Resources in India. Springer Hydrogeology. Springer, Cham. </w:t>
      </w:r>
      <w:r>
        <w:fldChar w:fldCharType="begin"/>
      </w:r>
      <w:r>
        <w:instrText>HYPERLINK "https://doi.org/10.1007/978-3-030-62397-5_26"</w:instrText>
      </w:r>
      <w:r>
        <w:fldChar w:fldCharType="separate"/>
      </w:r>
      <w:r w:rsidRPr="00032AD9">
        <w:rPr>
          <w:rStyle w:val="Hyperlink"/>
          <w:rFonts w:ascii="Times New Roman" w:hAnsi="Times New Roman" w:cs="Times New Roman"/>
          <w:lang w:val="sr-Cyrl"/>
        </w:rPr>
        <w:t>https://doi.org/10.1007/978-3-030-62397-5_26</w:t>
      </w:r>
      <w:r>
        <w:fldChar w:fldCharType="end"/>
      </w:r>
      <w:r w:rsidRPr="00032AD9">
        <w:rPr>
          <w:rFonts w:ascii="Times New Roman" w:hAnsi="Times New Roman" w:cs="Times New Roman"/>
          <w:color w:val="000000" w:themeColor="text1"/>
          <w:lang w:val="sr-Cyrl"/>
        </w:rPr>
        <w:t>.</w:t>
      </w:r>
    </w:p>
    <w:p w14:paraId="66A2EBC2" w14:textId="6CFCFA24" w:rsidR="0039340A" w:rsidRPr="00032AD9" w:rsidRDefault="009F6001" w:rsidP="0039340A">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 xml:space="preserve">Scholz, R.W. (2020). Transdisciplinarity: science for and with society in light of the university’s roles and functions. Sustain Sci 15, 1033–1049.DOI: </w:t>
      </w:r>
      <w:r>
        <w:fldChar w:fldCharType="begin"/>
      </w:r>
      <w:r>
        <w:instrText>HYPERLINK "https://doi.org/10.1007/s11625-020-00794-x"</w:instrText>
      </w:r>
      <w:r>
        <w:fldChar w:fldCharType="separate"/>
      </w:r>
      <w:r w:rsidRPr="00032AD9">
        <w:rPr>
          <w:rStyle w:val="Hyperlink"/>
          <w:rFonts w:ascii="Times New Roman" w:hAnsi="Times New Roman" w:cs="Times New Roman"/>
          <w:lang w:val="sr-Cyrl"/>
        </w:rPr>
        <w:t>https://doi.org/10.1007/s11625-020-00794-x</w:t>
      </w:r>
      <w:r>
        <w:fldChar w:fldCharType="end"/>
      </w:r>
      <w:r w:rsidRPr="00032AD9">
        <w:rPr>
          <w:rFonts w:ascii="Times New Roman" w:hAnsi="Times New Roman" w:cs="Times New Roman"/>
          <w:color w:val="000000" w:themeColor="text1"/>
          <w:lang w:val="sr-Cyrl"/>
        </w:rPr>
        <w:t>.</w:t>
      </w:r>
    </w:p>
    <w:p w14:paraId="7A8BC84A" w14:textId="401531A9" w:rsidR="0039340A" w:rsidRPr="00032AD9" w:rsidRDefault="0039340A" w:rsidP="0039340A">
      <w:pPr>
        <w:pStyle w:val="ListParagraph"/>
        <w:numPr>
          <w:ilvl w:val="0"/>
          <w:numId w:val="1"/>
        </w:numPr>
        <w:ind w:left="426" w:hanging="426"/>
        <w:jc w:val="both"/>
        <w:rPr>
          <w:rFonts w:ascii="Times New Roman" w:hAnsi="Times New Roman" w:cs="Times New Roman"/>
          <w:color w:val="000000" w:themeColor="text1"/>
          <w:lang w:val="pt-BR"/>
        </w:rPr>
      </w:pPr>
      <w:r w:rsidRPr="00032AD9">
        <w:rPr>
          <w:rFonts w:ascii="Times New Roman" w:hAnsi="Times New Roman" w:cs="Times New Roman"/>
          <w:color w:val="000000" w:themeColor="text1"/>
          <w:lang w:val="sr-Cyrl"/>
        </w:rPr>
        <w:t xml:space="preserve">Solomon, G.E., Carley, S., Porter, A.L. (2016) How Multidisciplinary Are the Multidisciplinary Journals Science and Nature? </w:t>
      </w:r>
      <w:r w:rsidRPr="00032AD9">
        <w:rPr>
          <w:rFonts w:ascii="Times New Roman" w:hAnsi="Times New Roman" w:cs="Times New Roman"/>
          <w:color w:val="000000" w:themeColor="text1"/>
          <w:lang w:val="pt-BR"/>
        </w:rPr>
        <w:t xml:space="preserve">PLoS One. Apr 4;11(4):e0152637. DOI: </w:t>
      </w:r>
      <w:r>
        <w:fldChar w:fldCharType="begin"/>
      </w:r>
      <w:r w:rsidRPr="00F343D3">
        <w:rPr>
          <w:lang w:val="pt-BR"/>
        </w:rPr>
        <w:instrText>HYPERLINK "https://doi.org/10.1371/journal.pone.0152637"</w:instrText>
      </w:r>
      <w:r>
        <w:fldChar w:fldCharType="separate"/>
      </w:r>
      <w:r w:rsidRPr="00032AD9">
        <w:rPr>
          <w:rStyle w:val="Hyperlink"/>
          <w:rFonts w:ascii="Times New Roman" w:hAnsi="Times New Roman" w:cs="Times New Roman"/>
          <w:lang w:val="pt-BR"/>
        </w:rPr>
        <w:t>https://doi.org/10.1371/journal.pone.0152637</w:t>
      </w:r>
      <w:r>
        <w:fldChar w:fldCharType="end"/>
      </w:r>
      <w:r w:rsidRPr="00032AD9">
        <w:rPr>
          <w:rFonts w:ascii="Times New Roman" w:hAnsi="Times New Roman" w:cs="Times New Roman"/>
          <w:color w:val="000000" w:themeColor="text1"/>
          <w:lang w:val="pt-BR"/>
        </w:rPr>
        <w:t>.</w:t>
      </w:r>
    </w:p>
    <w:p w14:paraId="3F05DC8B" w14:textId="0E1FED4A" w:rsidR="00A80812" w:rsidRPr="00032AD9" w:rsidRDefault="00A80812" w:rsidP="3C5DB29E">
      <w:pPr>
        <w:pStyle w:val="ListParagraph"/>
        <w:numPr>
          <w:ilvl w:val="0"/>
          <w:numId w:val="1"/>
        </w:numPr>
        <w:ind w:left="426" w:hanging="426"/>
        <w:jc w:val="both"/>
        <w:rPr>
          <w:rFonts w:ascii="Times New Roman" w:hAnsi="Times New Roman" w:cs="Times New Roman"/>
          <w:color w:val="000000" w:themeColor="text1"/>
        </w:rPr>
      </w:pPr>
      <w:r w:rsidRPr="00032AD9">
        <w:rPr>
          <w:rFonts w:ascii="Times New Roman" w:hAnsi="Times New Roman" w:cs="Times New Roman"/>
          <w:color w:val="545454"/>
          <w:shd w:val="clear" w:color="auto" w:fill="FFFFFF"/>
          <w:lang w:val="sr-Cyrl"/>
        </w:rPr>
        <w:lastRenderedPageBreak/>
        <w:t xml:space="preserve">FAO. </w:t>
      </w:r>
      <w:r w:rsidR="00AC40AC" w:rsidRPr="00032AD9">
        <w:rPr>
          <w:rFonts w:ascii="Times New Roman" w:hAnsi="Times New Roman" w:cs="Times New Roman"/>
          <w:color w:val="545454"/>
          <w:shd w:val="clear" w:color="auto" w:fill="FFFFFF"/>
          <w:lang w:val="sr-Cyrl"/>
        </w:rPr>
        <w:t>(</w:t>
      </w:r>
      <w:r w:rsidRPr="00032AD9">
        <w:rPr>
          <w:rFonts w:ascii="Times New Roman" w:hAnsi="Times New Roman" w:cs="Times New Roman"/>
          <w:color w:val="545454"/>
          <w:shd w:val="clear" w:color="auto" w:fill="FFFFFF"/>
          <w:lang w:val="sr-Cyrl"/>
        </w:rPr>
        <w:t>2021</w:t>
      </w:r>
      <w:r w:rsidR="00AC40AC" w:rsidRPr="00032AD9">
        <w:rPr>
          <w:rFonts w:ascii="Times New Roman" w:hAnsi="Times New Roman" w:cs="Times New Roman"/>
          <w:color w:val="545454"/>
          <w:shd w:val="clear" w:color="auto" w:fill="FFFFFF"/>
          <w:lang w:val="sr-Cyrl"/>
        </w:rPr>
        <w:t>)</w:t>
      </w:r>
      <w:r w:rsidRPr="00032AD9">
        <w:rPr>
          <w:rFonts w:ascii="Times New Roman" w:hAnsi="Times New Roman" w:cs="Times New Roman"/>
          <w:color w:val="545454"/>
          <w:shd w:val="clear" w:color="auto" w:fill="FFFFFF"/>
          <w:lang w:val="sr-Cyrl"/>
        </w:rPr>
        <w:t>. </w:t>
      </w:r>
      <w:r w:rsidRPr="00032AD9">
        <w:rPr>
          <w:rStyle w:val="Emphasis"/>
          <w:rFonts w:ascii="Times New Roman" w:hAnsi="Times New Roman" w:cs="Times New Roman"/>
          <w:i w:val="0"/>
          <w:iCs w:val="0"/>
          <w:color w:val="545454"/>
          <w:shd w:val="clear" w:color="auto" w:fill="FFFFFF"/>
          <w:lang w:val="sr-Cyrl"/>
        </w:rPr>
        <w:t>The State of Food and Agriculture 2021. Making agrifood systems more resilient to shocks and stresses</w:t>
      </w:r>
      <w:r w:rsidRPr="00032AD9">
        <w:rPr>
          <w:rFonts w:ascii="Times New Roman" w:hAnsi="Times New Roman" w:cs="Times New Roman"/>
          <w:color w:val="545454"/>
          <w:shd w:val="clear" w:color="auto" w:fill="FFFFFF"/>
          <w:lang w:val="sr-Cyrl"/>
        </w:rPr>
        <w:t xml:space="preserve">. </w:t>
      </w:r>
      <w:r w:rsidRPr="00032AD9">
        <w:rPr>
          <w:rFonts w:ascii="Times New Roman" w:hAnsi="Times New Roman" w:cs="Times New Roman"/>
          <w:color w:val="545454"/>
          <w:shd w:val="clear" w:color="auto" w:fill="FFFFFF"/>
        </w:rPr>
        <w:t>Rome, FAO.</w:t>
      </w:r>
      <w:r w:rsidRPr="00032AD9">
        <w:rPr>
          <w:rFonts w:ascii="Times New Roman" w:hAnsi="Times New Roman" w:cs="Times New Roman"/>
        </w:rPr>
        <w:t xml:space="preserve"> </w:t>
      </w:r>
      <w:r w:rsidR="00AC40AC" w:rsidRPr="00032AD9">
        <w:rPr>
          <w:rFonts w:ascii="Times New Roman" w:hAnsi="Times New Roman" w:cs="Times New Roman"/>
        </w:rPr>
        <w:t xml:space="preserve">DOI: </w:t>
      </w:r>
      <w:hyperlink r:id="rId29" w:history="1">
        <w:r w:rsidR="00AC40AC" w:rsidRPr="00032AD9">
          <w:rPr>
            <w:rStyle w:val="Hyperlink"/>
            <w:rFonts w:ascii="Times New Roman" w:hAnsi="Times New Roman" w:cs="Times New Roman"/>
          </w:rPr>
          <w:t>https://doi.org/10.4060/cb4476en</w:t>
        </w:r>
      </w:hyperlink>
      <w:r w:rsidRPr="00032AD9">
        <w:rPr>
          <w:rFonts w:ascii="Times New Roman" w:hAnsi="Times New Roman" w:cs="Times New Roman"/>
          <w:color w:val="545454"/>
          <w:shd w:val="clear" w:color="auto" w:fill="FFFFFF"/>
        </w:rPr>
        <w:t>.</w:t>
      </w:r>
    </w:p>
    <w:p w14:paraId="26DF7967" w14:textId="6B043898" w:rsidR="00A80812" w:rsidRPr="00032AD9" w:rsidRDefault="00AC40AC" w:rsidP="0039340A">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 xml:space="preserve">United Nations. 2020. Global Biodiversity Outlook 5. Montreal: Secretariat of the Convention on Biological Diversity. Available at </w:t>
      </w:r>
      <w:r w:rsidR="006A5BAB">
        <w:fldChar w:fldCharType="begin"/>
      </w:r>
      <w:r w:rsidR="006A5BAB">
        <w:instrText>HYPERLINK "https://www.cbd.int/gbo5"</w:instrText>
      </w:r>
      <w:r w:rsidR="006A5BAB">
        <w:fldChar w:fldCharType="separate"/>
      </w:r>
      <w:r w:rsidR="006A5BAB" w:rsidRPr="00032AD9">
        <w:rPr>
          <w:rStyle w:val="Hyperlink"/>
          <w:rFonts w:ascii="Times New Roman" w:hAnsi="Times New Roman" w:cs="Times New Roman"/>
          <w:lang w:val="sr-Cyrl"/>
        </w:rPr>
        <w:t>https://www.cbd.int/gbo5</w:t>
      </w:r>
      <w:r w:rsidR="006A5BAB">
        <w:fldChar w:fldCharType="end"/>
      </w:r>
      <w:r w:rsidRPr="00032AD9">
        <w:rPr>
          <w:rFonts w:ascii="Times New Roman" w:hAnsi="Times New Roman" w:cs="Times New Roman"/>
          <w:color w:val="000000" w:themeColor="text1"/>
          <w:lang w:val="sr-Cyrl"/>
        </w:rPr>
        <w:t>.</w:t>
      </w:r>
    </w:p>
    <w:p w14:paraId="1CE6EA02" w14:textId="77777777" w:rsidR="00C6663B" w:rsidRPr="00032AD9" w:rsidRDefault="006A5BAB" w:rsidP="00C6663B">
      <w:pPr>
        <w:pStyle w:val="ListParagraph"/>
        <w:numPr>
          <w:ilvl w:val="0"/>
          <w:numId w:val="1"/>
        </w:numPr>
        <w:ind w:left="426" w:hanging="426"/>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 xml:space="preserve">Lal, R. (2004). Soil Carbon Sequestration Impacts on Global Climate Change and Food Security. Science, 304(5677), 1623–1627. DOI: </w:t>
      </w:r>
      <w:r>
        <w:fldChar w:fldCharType="begin"/>
      </w:r>
      <w:r>
        <w:instrText>HYPERLINK "https://doi.org/10.1126/science.1097396"</w:instrText>
      </w:r>
      <w:r>
        <w:fldChar w:fldCharType="separate"/>
      </w:r>
      <w:r w:rsidRPr="00032AD9">
        <w:rPr>
          <w:rStyle w:val="Hyperlink"/>
          <w:rFonts w:ascii="Times New Roman" w:hAnsi="Times New Roman" w:cs="Times New Roman"/>
          <w:lang w:val="sr-Cyrl"/>
        </w:rPr>
        <w:t>https://doi.org/10.1126/science.1097396</w:t>
      </w:r>
      <w:r>
        <w:fldChar w:fldCharType="end"/>
      </w:r>
      <w:r w:rsidRPr="00032AD9">
        <w:rPr>
          <w:rFonts w:ascii="Times New Roman" w:hAnsi="Times New Roman" w:cs="Times New Roman"/>
          <w:color w:val="000000" w:themeColor="text1"/>
          <w:lang w:val="sr-Cyrl"/>
        </w:rPr>
        <w:t>.</w:t>
      </w:r>
    </w:p>
    <w:p w14:paraId="36707C5B" w14:textId="79DEF3C4" w:rsidR="00E410A6" w:rsidRPr="00032AD9" w:rsidRDefault="00E410A6" w:rsidP="3C5DB29E">
      <w:pPr>
        <w:pStyle w:val="ListParagraph"/>
        <w:numPr>
          <w:ilvl w:val="0"/>
          <w:numId w:val="1"/>
        </w:numPr>
        <w:ind w:left="426" w:hanging="426"/>
        <w:jc w:val="both"/>
        <w:rPr>
          <w:rFonts w:ascii="Times New Roman" w:hAnsi="Times New Roman" w:cs="Times New Roman"/>
          <w:color w:val="000000" w:themeColor="text1"/>
        </w:rPr>
      </w:pPr>
      <w:r w:rsidRPr="00032AD9">
        <w:rPr>
          <w:rFonts w:ascii="Times New Roman" w:hAnsi="Times New Roman" w:cs="Times New Roman"/>
          <w:color w:val="333333"/>
          <w:shd w:val="clear" w:color="auto" w:fill="EAEAEA"/>
          <w:lang w:val="sr-Cyrl"/>
        </w:rPr>
        <w:t xml:space="preserve">Lal, R. (2020). Regenerative agriculture for food and climate. Journal of Soil and Water Conservation, 75(5), 123A-124A. </w:t>
      </w:r>
      <w:r w:rsidRPr="00032AD9">
        <w:rPr>
          <w:rFonts w:ascii="Times New Roman" w:hAnsi="Times New Roman" w:cs="Times New Roman"/>
          <w:color w:val="333333"/>
          <w:shd w:val="clear" w:color="auto" w:fill="EAEAEA"/>
        </w:rPr>
        <w:t xml:space="preserve">DOI: </w:t>
      </w:r>
      <w:hyperlink r:id="rId30" w:history="1">
        <w:r w:rsidRPr="00032AD9">
          <w:rPr>
            <w:rStyle w:val="Hyperlink"/>
            <w:rFonts w:ascii="Times New Roman" w:hAnsi="Times New Roman" w:cs="Times New Roman"/>
          </w:rPr>
          <w:t>https://doi.org/10.2489/jswc.2020.0620A</w:t>
        </w:r>
      </w:hyperlink>
      <w:r w:rsidRPr="00032AD9">
        <w:rPr>
          <w:rFonts w:ascii="Times New Roman" w:hAnsi="Times New Roman" w:cs="Times New Roman"/>
          <w:color w:val="333333"/>
          <w:shd w:val="clear" w:color="auto" w:fill="EAEAEA"/>
        </w:rPr>
        <w:t>.</w:t>
      </w:r>
    </w:p>
    <w:p w14:paraId="51C3DF7E" w14:textId="2EC28634" w:rsidR="00D3385E" w:rsidRPr="00032AD9" w:rsidRDefault="00D3385E" w:rsidP="00D3385E">
      <w:pPr>
        <w:pStyle w:val="ListParagraph"/>
        <w:numPr>
          <w:ilvl w:val="0"/>
          <w:numId w:val="1"/>
        </w:numPr>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rPr>
        <w:t xml:space="preserve">Chadwick, D., </w:t>
      </w:r>
      <w:proofErr w:type="spellStart"/>
      <w:r w:rsidRPr="00032AD9">
        <w:rPr>
          <w:rFonts w:ascii="Times New Roman" w:hAnsi="Times New Roman" w:cs="Times New Roman"/>
          <w:color w:val="000000" w:themeColor="text1"/>
        </w:rPr>
        <w:t>Sommer</w:t>
      </w:r>
      <w:proofErr w:type="spellEnd"/>
      <w:r w:rsidRPr="00032AD9">
        <w:rPr>
          <w:rFonts w:ascii="Times New Roman" w:hAnsi="Times New Roman" w:cs="Times New Roman"/>
          <w:color w:val="000000" w:themeColor="text1"/>
        </w:rPr>
        <w:t xml:space="preserve">, S., </w:t>
      </w:r>
      <w:proofErr w:type="spellStart"/>
      <w:r w:rsidRPr="00032AD9">
        <w:rPr>
          <w:rFonts w:ascii="Times New Roman" w:hAnsi="Times New Roman" w:cs="Times New Roman"/>
          <w:color w:val="000000" w:themeColor="text1"/>
        </w:rPr>
        <w:t>Thorman</w:t>
      </w:r>
      <w:proofErr w:type="spellEnd"/>
      <w:r w:rsidRPr="00032AD9">
        <w:rPr>
          <w:rFonts w:ascii="Times New Roman" w:hAnsi="Times New Roman" w:cs="Times New Roman"/>
          <w:color w:val="000000" w:themeColor="text1"/>
        </w:rPr>
        <w:t xml:space="preserve">, R., </w:t>
      </w:r>
      <w:proofErr w:type="spellStart"/>
      <w:r w:rsidRPr="00032AD9">
        <w:rPr>
          <w:rFonts w:ascii="Times New Roman" w:hAnsi="Times New Roman" w:cs="Times New Roman"/>
          <w:color w:val="000000" w:themeColor="text1"/>
        </w:rPr>
        <w:t>Fangueiro</w:t>
      </w:r>
      <w:proofErr w:type="spellEnd"/>
      <w:r w:rsidRPr="00032AD9">
        <w:rPr>
          <w:rFonts w:ascii="Times New Roman" w:hAnsi="Times New Roman" w:cs="Times New Roman"/>
          <w:color w:val="000000" w:themeColor="text1"/>
        </w:rPr>
        <w:t xml:space="preserve">, D., </w:t>
      </w:r>
      <w:proofErr w:type="spellStart"/>
      <w:r w:rsidRPr="00032AD9">
        <w:rPr>
          <w:rFonts w:ascii="Times New Roman" w:hAnsi="Times New Roman" w:cs="Times New Roman"/>
          <w:color w:val="000000" w:themeColor="text1"/>
        </w:rPr>
        <w:t>Cardenas</w:t>
      </w:r>
      <w:proofErr w:type="spellEnd"/>
      <w:r w:rsidRPr="00032AD9">
        <w:rPr>
          <w:rFonts w:ascii="Times New Roman" w:hAnsi="Times New Roman" w:cs="Times New Roman"/>
          <w:color w:val="000000" w:themeColor="text1"/>
        </w:rPr>
        <w:t xml:space="preserve">, L., </w:t>
      </w:r>
      <w:proofErr w:type="spellStart"/>
      <w:r w:rsidRPr="00032AD9">
        <w:rPr>
          <w:rFonts w:ascii="Times New Roman" w:hAnsi="Times New Roman" w:cs="Times New Roman"/>
          <w:color w:val="000000" w:themeColor="text1"/>
        </w:rPr>
        <w:t>Amon</w:t>
      </w:r>
      <w:proofErr w:type="spellEnd"/>
      <w:r w:rsidRPr="00032AD9">
        <w:rPr>
          <w:rFonts w:ascii="Times New Roman" w:hAnsi="Times New Roman" w:cs="Times New Roman"/>
          <w:color w:val="000000" w:themeColor="text1"/>
        </w:rPr>
        <w:t xml:space="preserve">, B., </w:t>
      </w:r>
      <w:proofErr w:type="spellStart"/>
      <w:r w:rsidRPr="00032AD9">
        <w:rPr>
          <w:rFonts w:ascii="Times New Roman" w:hAnsi="Times New Roman" w:cs="Times New Roman"/>
          <w:color w:val="000000" w:themeColor="text1"/>
        </w:rPr>
        <w:t>Misselbrook</w:t>
      </w:r>
      <w:proofErr w:type="spellEnd"/>
      <w:r w:rsidRPr="00032AD9">
        <w:rPr>
          <w:rFonts w:ascii="Times New Roman" w:hAnsi="Times New Roman" w:cs="Times New Roman"/>
          <w:color w:val="000000" w:themeColor="text1"/>
        </w:rPr>
        <w:t xml:space="preserve">, T. (2011). </w:t>
      </w:r>
      <w:proofErr w:type="spellStart"/>
      <w:r w:rsidRPr="00032AD9">
        <w:rPr>
          <w:rFonts w:ascii="Times New Roman" w:hAnsi="Times New Roman" w:cs="Times New Roman"/>
          <w:color w:val="000000" w:themeColor="text1"/>
        </w:rPr>
        <w:t>Manure</w:t>
      </w:r>
      <w:proofErr w:type="spellEnd"/>
      <w:r w:rsidRPr="00032AD9">
        <w:rPr>
          <w:rFonts w:ascii="Times New Roman" w:hAnsi="Times New Roman" w:cs="Times New Roman"/>
          <w:color w:val="000000" w:themeColor="text1"/>
        </w:rPr>
        <w:t xml:space="preserve"> </w:t>
      </w:r>
      <w:proofErr w:type="spellStart"/>
      <w:r w:rsidRPr="00032AD9">
        <w:rPr>
          <w:rFonts w:ascii="Times New Roman" w:hAnsi="Times New Roman" w:cs="Times New Roman"/>
          <w:color w:val="000000" w:themeColor="text1"/>
        </w:rPr>
        <w:t>management</w:t>
      </w:r>
      <w:proofErr w:type="spellEnd"/>
      <w:r w:rsidRPr="00032AD9">
        <w:rPr>
          <w:rFonts w:ascii="Times New Roman" w:hAnsi="Times New Roman" w:cs="Times New Roman"/>
          <w:color w:val="000000" w:themeColor="text1"/>
        </w:rPr>
        <w:t xml:space="preserve">: </w:t>
      </w:r>
      <w:proofErr w:type="spellStart"/>
      <w:r w:rsidRPr="00032AD9">
        <w:rPr>
          <w:rFonts w:ascii="Times New Roman" w:hAnsi="Times New Roman" w:cs="Times New Roman"/>
          <w:color w:val="000000" w:themeColor="text1"/>
        </w:rPr>
        <w:t>Implications</w:t>
      </w:r>
      <w:proofErr w:type="spellEnd"/>
      <w:r w:rsidRPr="00032AD9">
        <w:rPr>
          <w:rFonts w:ascii="Times New Roman" w:hAnsi="Times New Roman" w:cs="Times New Roman"/>
          <w:color w:val="000000" w:themeColor="text1"/>
        </w:rPr>
        <w:t xml:space="preserve"> </w:t>
      </w:r>
      <w:proofErr w:type="spellStart"/>
      <w:r w:rsidRPr="00032AD9">
        <w:rPr>
          <w:rFonts w:ascii="Times New Roman" w:hAnsi="Times New Roman" w:cs="Times New Roman"/>
          <w:color w:val="000000" w:themeColor="text1"/>
        </w:rPr>
        <w:t>for</w:t>
      </w:r>
      <w:proofErr w:type="spellEnd"/>
      <w:r w:rsidRPr="00032AD9">
        <w:rPr>
          <w:rFonts w:ascii="Times New Roman" w:hAnsi="Times New Roman" w:cs="Times New Roman"/>
          <w:color w:val="000000" w:themeColor="text1"/>
        </w:rPr>
        <w:t xml:space="preserve"> </w:t>
      </w:r>
      <w:proofErr w:type="spellStart"/>
      <w:r w:rsidRPr="00032AD9">
        <w:rPr>
          <w:rFonts w:ascii="Times New Roman" w:hAnsi="Times New Roman" w:cs="Times New Roman"/>
          <w:color w:val="000000" w:themeColor="text1"/>
        </w:rPr>
        <w:t>greenhouse</w:t>
      </w:r>
      <w:proofErr w:type="spellEnd"/>
      <w:r w:rsidRPr="00032AD9">
        <w:rPr>
          <w:rFonts w:ascii="Times New Roman" w:hAnsi="Times New Roman" w:cs="Times New Roman"/>
          <w:color w:val="000000" w:themeColor="text1"/>
        </w:rPr>
        <w:t xml:space="preserve"> gas </w:t>
      </w:r>
      <w:proofErr w:type="spellStart"/>
      <w:r w:rsidRPr="00032AD9">
        <w:rPr>
          <w:rFonts w:ascii="Times New Roman" w:hAnsi="Times New Roman" w:cs="Times New Roman"/>
          <w:color w:val="000000" w:themeColor="text1"/>
        </w:rPr>
        <w:t>emissions</w:t>
      </w:r>
      <w:proofErr w:type="spellEnd"/>
      <w:r w:rsidRPr="00032AD9">
        <w:rPr>
          <w:rFonts w:ascii="Times New Roman" w:hAnsi="Times New Roman" w:cs="Times New Roman"/>
          <w:color w:val="000000" w:themeColor="text1"/>
        </w:rPr>
        <w:t xml:space="preserve">. </w:t>
      </w:r>
      <w:r w:rsidRPr="00032AD9">
        <w:rPr>
          <w:rFonts w:ascii="Times New Roman" w:hAnsi="Times New Roman" w:cs="Times New Roman"/>
          <w:color w:val="000000" w:themeColor="text1"/>
          <w:lang w:val="sr-Cyrl"/>
        </w:rPr>
        <w:t xml:space="preserve">Animal Feed Science and Technology, vol. 166–167, pp. 514-531. DOI: </w:t>
      </w:r>
      <w:hyperlink r:id="rId31" w:history="1">
        <w:r w:rsidR="00F566FE" w:rsidRPr="00032AD9">
          <w:rPr>
            <w:rStyle w:val="Hyperlink"/>
            <w:rFonts w:ascii="Times New Roman" w:hAnsi="Times New Roman" w:cs="Times New Roman"/>
            <w:lang w:val="sr-Cyrl"/>
          </w:rPr>
          <w:t>https://doi.org/10.1016/j.anifeedsci.2011.04.036</w:t>
        </w:r>
      </w:hyperlink>
      <w:r w:rsidRPr="00032AD9">
        <w:rPr>
          <w:rFonts w:ascii="Times New Roman" w:hAnsi="Times New Roman" w:cs="Times New Roman"/>
          <w:color w:val="000000" w:themeColor="text1"/>
          <w:lang w:val="sr-Cyrl"/>
        </w:rPr>
        <w:t>.</w:t>
      </w:r>
    </w:p>
    <w:p w14:paraId="1B6567A1" w14:textId="22A73BBB" w:rsidR="007331F3" w:rsidRPr="00032AD9" w:rsidRDefault="00F566FE" w:rsidP="00D3385E">
      <w:pPr>
        <w:pStyle w:val="ListParagraph"/>
        <w:numPr>
          <w:ilvl w:val="0"/>
          <w:numId w:val="1"/>
        </w:numPr>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sr-Cyrl"/>
        </w:rPr>
        <w:t xml:space="preserve">Millennium Ecosystem Assessment (MEA). (2005). Ecosystems and Human Well-being: Synthesis. Washington, DC: Island Press, </w:t>
      </w:r>
      <w:r w:rsidR="0000609E" w:rsidRPr="00032AD9">
        <w:rPr>
          <w:rFonts w:ascii="Times New Roman" w:hAnsi="Times New Roman" w:cs="Times New Roman"/>
          <w:color w:val="000000" w:themeColor="text1"/>
          <w:lang w:val="sr-Cyrl"/>
        </w:rPr>
        <w:t>Available</w:t>
      </w:r>
      <w:r w:rsidRPr="00032AD9">
        <w:rPr>
          <w:rFonts w:ascii="Times New Roman" w:hAnsi="Times New Roman" w:cs="Times New Roman"/>
          <w:color w:val="000000" w:themeColor="text1"/>
          <w:lang w:val="sr-Cyrl"/>
        </w:rPr>
        <w:t xml:space="preserve"> at </w:t>
      </w:r>
      <w:hyperlink r:id="rId32" w:history="1">
        <w:r w:rsidR="007331F3" w:rsidRPr="00032AD9">
          <w:rPr>
            <w:rStyle w:val="Hyperlink"/>
            <w:rFonts w:ascii="Times New Roman" w:hAnsi="Times New Roman" w:cs="Times New Roman"/>
            <w:lang w:val="sr-Cyrl"/>
          </w:rPr>
          <w:t>https://www.millenniumassessment.org</w:t>
        </w:r>
      </w:hyperlink>
      <w:r w:rsidR="007331F3" w:rsidRPr="00032AD9">
        <w:rPr>
          <w:rFonts w:ascii="Times New Roman" w:hAnsi="Times New Roman" w:cs="Times New Roman"/>
          <w:color w:val="000000" w:themeColor="text1"/>
          <w:lang w:val="sr-Cyrl"/>
        </w:rPr>
        <w:t>.</w:t>
      </w:r>
    </w:p>
    <w:p w14:paraId="19F2D3AF" w14:textId="793A95C5" w:rsidR="00F566FE" w:rsidRPr="00032AD9" w:rsidRDefault="007331F3" w:rsidP="007331F3">
      <w:pPr>
        <w:pStyle w:val="ListParagraph"/>
        <w:numPr>
          <w:ilvl w:val="0"/>
          <w:numId w:val="1"/>
        </w:numPr>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da-DK"/>
        </w:rPr>
        <w:t xml:space="preserve">Jonathan A. Foley et al. </w:t>
      </w:r>
      <w:r w:rsidRPr="00032AD9">
        <w:rPr>
          <w:rFonts w:ascii="Times New Roman" w:hAnsi="Times New Roman" w:cs="Times New Roman"/>
          <w:color w:val="000000" w:themeColor="text1"/>
          <w:lang w:val="sr-Cyrl"/>
        </w:rPr>
        <w:t>(2005). Global Consequences of Land Use. Science vol. 309, pp. 570-574.DOI:10.1126/science.1111772.</w:t>
      </w:r>
    </w:p>
    <w:p w14:paraId="5403D6E7" w14:textId="6FE0F4E4" w:rsidR="00305AA9" w:rsidRPr="00032AD9" w:rsidRDefault="00305AA9" w:rsidP="007331F3">
      <w:pPr>
        <w:pStyle w:val="ListParagraph"/>
        <w:numPr>
          <w:ilvl w:val="0"/>
          <w:numId w:val="1"/>
        </w:numPr>
        <w:jc w:val="both"/>
        <w:rPr>
          <w:rFonts w:ascii="Times New Roman" w:hAnsi="Times New Roman" w:cs="Times New Roman"/>
          <w:color w:val="000000" w:themeColor="text1"/>
          <w:lang w:val="en-GB"/>
        </w:rPr>
      </w:pPr>
      <w:r w:rsidRPr="00032AD9">
        <w:rPr>
          <w:rFonts w:ascii="Times New Roman" w:hAnsi="Times New Roman" w:cs="Times New Roman"/>
          <w:color w:val="000000" w:themeColor="text1"/>
          <w:lang w:val="pl-PL"/>
        </w:rPr>
        <w:t xml:space="preserve">Brady, N. C., Weil, R. R. (2016). </w:t>
      </w:r>
      <w:r w:rsidRPr="00032AD9">
        <w:rPr>
          <w:rFonts w:ascii="Times New Roman" w:hAnsi="Times New Roman" w:cs="Times New Roman"/>
          <w:color w:val="000000" w:themeColor="text1"/>
          <w:lang w:val="sr-Cyrl"/>
        </w:rPr>
        <w:t>The Nature and Properties of Soils (15th ed.). Pearson Education.</w:t>
      </w:r>
    </w:p>
    <w:p w14:paraId="11982A85" w14:textId="41848C4D" w:rsidR="0088346C" w:rsidRPr="00F343D3" w:rsidRDefault="00824E8E" w:rsidP="3C5DB29E">
      <w:pPr>
        <w:pStyle w:val="ListParagraph"/>
        <w:numPr>
          <w:ilvl w:val="0"/>
          <w:numId w:val="1"/>
        </w:numPr>
        <w:jc w:val="both"/>
        <w:rPr>
          <w:rFonts w:ascii="Times New Roman" w:hAnsi="Times New Roman" w:cs="Times New Roman"/>
          <w:color w:val="000000" w:themeColor="text1"/>
          <w:lang w:val="sr-Cyrl"/>
        </w:rPr>
      </w:pPr>
      <w:r w:rsidRPr="00032AD9">
        <w:rPr>
          <w:rFonts w:ascii="Times New Roman" w:hAnsi="Times New Roman" w:cs="Times New Roman"/>
          <w:color w:val="000000" w:themeColor="text1"/>
          <w:lang w:val="sr-Cyrl"/>
        </w:rPr>
        <w:t>EU Mission Soil Deal for Europe</w:t>
      </w:r>
      <w:r w:rsidR="000E14A7" w:rsidRPr="00032AD9">
        <w:rPr>
          <w:rFonts w:ascii="Times New Roman" w:hAnsi="Times New Roman" w:cs="Times New Roman"/>
          <w:color w:val="000000" w:themeColor="text1"/>
          <w:lang w:val="sr-Cyrl"/>
        </w:rPr>
        <w:t xml:space="preserve">. 100 living labs and lighthouses to lead the transition towards </w:t>
      </w:r>
      <w:r w:rsidR="0000609E" w:rsidRPr="00032AD9">
        <w:rPr>
          <w:rFonts w:ascii="Times New Roman" w:hAnsi="Times New Roman" w:cs="Times New Roman"/>
          <w:color w:val="000000" w:themeColor="text1"/>
          <w:lang w:val="sr-Cyrl"/>
        </w:rPr>
        <w:t>healthy soils</w:t>
      </w:r>
      <w:r w:rsidR="000E14A7" w:rsidRPr="00032AD9">
        <w:rPr>
          <w:rFonts w:ascii="Times New Roman" w:hAnsi="Times New Roman" w:cs="Times New Roman"/>
          <w:color w:val="000000" w:themeColor="text1"/>
          <w:lang w:val="sr-Cyrl"/>
        </w:rPr>
        <w:t xml:space="preserve"> by 2023.</w:t>
      </w:r>
      <w:r w:rsidRPr="00032AD9">
        <w:rPr>
          <w:rFonts w:ascii="Times New Roman" w:hAnsi="Times New Roman" w:cs="Times New Roman"/>
          <w:color w:val="000000" w:themeColor="text1"/>
          <w:lang w:val="sr-Cyrl"/>
        </w:rPr>
        <w:t xml:space="preserve"> Implementation plan</w:t>
      </w:r>
      <w:r w:rsidR="006E6A5C" w:rsidRPr="00032AD9">
        <w:rPr>
          <w:rFonts w:ascii="Times New Roman" w:hAnsi="Times New Roman" w:cs="Times New Roman"/>
          <w:color w:val="000000" w:themeColor="text1"/>
          <w:lang w:val="sr-Cyrl"/>
        </w:rPr>
        <w:t xml:space="preserve">. Available at </w:t>
      </w:r>
      <w:hyperlink r:id="rId33">
        <w:r w:rsidR="006E6A5C" w:rsidRPr="00032AD9">
          <w:rPr>
            <w:rStyle w:val="Hyperlink"/>
            <w:rFonts w:ascii="Times New Roman" w:hAnsi="Times New Roman" w:cs="Times New Roman"/>
            <w:lang w:val="sr-Cyrl"/>
          </w:rPr>
          <w:t>https://research-and-innovation.ec.europa.eu/knowledge-publications-tools-and-data/publications/all-publications/implementation-plans-eu-missions_en</w:t>
        </w:r>
      </w:hyperlink>
    </w:p>
    <w:sectPr w:rsidR="0088346C" w:rsidRPr="00F343D3" w:rsidSect="00005425">
      <w:headerReference w:type="default" r:id="rId34"/>
      <w:footerReference w:type="default" r:id="rId3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DE591" w14:textId="77777777" w:rsidR="00C865D4" w:rsidRDefault="00C865D4" w:rsidP="00D45FCE">
      <w:pPr>
        <w:spacing w:after="0" w:line="240" w:lineRule="auto"/>
      </w:pPr>
      <w:r>
        <w:separator/>
      </w:r>
    </w:p>
  </w:endnote>
  <w:endnote w:type="continuationSeparator" w:id="0">
    <w:p w14:paraId="5676E121" w14:textId="77777777" w:rsidR="00C865D4" w:rsidRDefault="00C865D4" w:rsidP="00D45FCE">
      <w:pPr>
        <w:spacing w:after="0" w:line="240" w:lineRule="auto"/>
      </w:pPr>
      <w:r>
        <w:continuationSeparator/>
      </w:r>
    </w:p>
  </w:endnote>
  <w:endnote w:type="continuationNotice" w:id="1">
    <w:p w14:paraId="1C7DD013" w14:textId="77777777" w:rsidR="00C865D4" w:rsidRDefault="00C865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BC64" w14:textId="77777777" w:rsidR="00E14DC8" w:rsidRPr="00D45FCE" w:rsidRDefault="00E14DC8" w:rsidP="00D45FCE">
    <w:pPr>
      <w:pStyle w:val="Footer"/>
    </w:pPr>
    <w:r w:rsidRPr="00D45FCE">
      <w:rPr>
        <w:noProof/>
        <w:lang w:val="pl-PL" w:eastAsia="pl-PL"/>
      </w:rPr>
      <w:drawing>
        <wp:anchor distT="0" distB="0" distL="114300" distR="114300" simplePos="0" relativeHeight="251658240" behindDoc="1" locked="0" layoutInCell="1" allowOverlap="1" wp14:anchorId="30695511" wp14:editId="53F14B9A">
          <wp:simplePos x="0" y="0"/>
          <wp:positionH relativeFrom="page">
            <wp:posOffset>-6350</wp:posOffset>
          </wp:positionH>
          <wp:positionV relativeFrom="paragraph">
            <wp:posOffset>-47567</wp:posOffset>
          </wp:positionV>
          <wp:extent cx="7626985" cy="650875"/>
          <wp:effectExtent l="0" t="0" r="0" b="0"/>
          <wp:wrapNone/>
          <wp:docPr id="1683028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28353" name=""/>
                  <pic:cNvPicPr/>
                </pic:nvPicPr>
                <pic:blipFill>
                  <a:blip r:embed="rId1">
                    <a:extLst>
                      <a:ext uri="{28A0092B-C50C-407E-A947-70E740481C1C}">
                        <a14:useLocalDpi xmlns:a14="http://schemas.microsoft.com/office/drawing/2010/main" val="0"/>
                      </a:ext>
                    </a:extLst>
                  </a:blip>
                  <a:stretch>
                    <a:fillRect/>
                  </a:stretch>
                </pic:blipFill>
                <pic:spPr>
                  <a:xfrm>
                    <a:off x="0" y="0"/>
                    <a:ext cx="7626985" cy="6508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58066" w14:textId="77777777" w:rsidR="00C865D4" w:rsidRDefault="00C865D4" w:rsidP="00D45FCE">
      <w:pPr>
        <w:spacing w:after="0" w:line="240" w:lineRule="auto"/>
      </w:pPr>
      <w:r>
        <w:separator/>
      </w:r>
    </w:p>
  </w:footnote>
  <w:footnote w:type="continuationSeparator" w:id="0">
    <w:p w14:paraId="7227DCBB" w14:textId="77777777" w:rsidR="00C865D4" w:rsidRDefault="00C865D4" w:rsidP="00D45FCE">
      <w:pPr>
        <w:spacing w:after="0" w:line="240" w:lineRule="auto"/>
      </w:pPr>
      <w:r>
        <w:continuationSeparator/>
      </w:r>
    </w:p>
  </w:footnote>
  <w:footnote w:type="continuationNotice" w:id="1">
    <w:p w14:paraId="41E5A26D" w14:textId="77777777" w:rsidR="00C865D4" w:rsidRDefault="00C865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633A2" w14:textId="77777777" w:rsidR="00E14DC8" w:rsidRDefault="00E14DC8">
    <w:pPr>
      <w:pStyle w:val="Header"/>
    </w:pPr>
    <w:r>
      <w:rPr>
        <w:noProof/>
        <w:lang w:val="pl-PL" w:eastAsia="pl-PL"/>
      </w:rPr>
      <w:drawing>
        <wp:anchor distT="0" distB="0" distL="114300" distR="114300" simplePos="0" relativeHeight="251658241" behindDoc="0" locked="0" layoutInCell="1" allowOverlap="1" wp14:anchorId="63F9C53D" wp14:editId="00108F4E">
          <wp:simplePos x="0" y="0"/>
          <wp:positionH relativeFrom="column">
            <wp:posOffset>3580938</wp:posOffset>
          </wp:positionH>
          <wp:positionV relativeFrom="paragraph">
            <wp:posOffset>-88496</wp:posOffset>
          </wp:positionV>
          <wp:extent cx="2575560" cy="350520"/>
          <wp:effectExtent l="0" t="0" r="0" b="0"/>
          <wp:wrapNone/>
          <wp:docPr id="10697974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5560" cy="350520"/>
                  </a:xfrm>
                  <a:prstGeom prst="rect">
                    <a:avLst/>
                  </a:prstGeom>
                  <a:noFill/>
                </pic:spPr>
              </pic:pic>
            </a:graphicData>
          </a:graphic>
        </wp:anchor>
      </w:drawing>
    </w:r>
    <w:r>
      <w:rPr>
        <w:noProof/>
        <w:lang w:val="pl-PL" w:eastAsia="pl-PL"/>
      </w:rPr>
      <w:drawing>
        <wp:anchor distT="0" distB="0" distL="114300" distR="114300" simplePos="0" relativeHeight="251658242" behindDoc="0" locked="0" layoutInCell="1" allowOverlap="1" wp14:anchorId="16564428" wp14:editId="06817B71">
          <wp:simplePos x="0" y="0"/>
          <wp:positionH relativeFrom="column">
            <wp:posOffset>-664152</wp:posOffset>
          </wp:positionH>
          <wp:positionV relativeFrom="paragraph">
            <wp:posOffset>-109682</wp:posOffset>
          </wp:positionV>
          <wp:extent cx="2018049" cy="685800"/>
          <wp:effectExtent l="0" t="0" r="1270" b="0"/>
          <wp:wrapNone/>
          <wp:docPr id="839011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8049" cy="685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C2025"/>
    <w:multiLevelType w:val="hybridMultilevel"/>
    <w:tmpl w:val="D95E74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6F04504"/>
    <w:multiLevelType w:val="hybridMultilevel"/>
    <w:tmpl w:val="44D4EE1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9301F01"/>
    <w:multiLevelType w:val="hybridMultilevel"/>
    <w:tmpl w:val="1F0A4E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CAC0CC4"/>
    <w:multiLevelType w:val="hybridMultilevel"/>
    <w:tmpl w:val="460A50C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42692641">
    <w:abstractNumId w:val="3"/>
  </w:num>
  <w:num w:numId="2" w16cid:durableId="717508464">
    <w:abstractNumId w:val="2"/>
  </w:num>
  <w:num w:numId="3" w16cid:durableId="508981533">
    <w:abstractNumId w:val="0"/>
  </w:num>
  <w:num w:numId="4" w16cid:durableId="19588765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FCE"/>
    <w:rsid w:val="0000122B"/>
    <w:rsid w:val="00005425"/>
    <w:rsid w:val="0000609E"/>
    <w:rsid w:val="000328C5"/>
    <w:rsid w:val="00032AD9"/>
    <w:rsid w:val="00036C0A"/>
    <w:rsid w:val="00040F5F"/>
    <w:rsid w:val="000666CF"/>
    <w:rsid w:val="00072F36"/>
    <w:rsid w:val="000972C1"/>
    <w:rsid w:val="00097541"/>
    <w:rsid w:val="000A1D24"/>
    <w:rsid w:val="000A61D6"/>
    <w:rsid w:val="000C0C36"/>
    <w:rsid w:val="000C1C0A"/>
    <w:rsid w:val="000C7CFD"/>
    <w:rsid w:val="000E14A7"/>
    <w:rsid w:val="000E783F"/>
    <w:rsid w:val="001023E6"/>
    <w:rsid w:val="00103DC5"/>
    <w:rsid w:val="00143C75"/>
    <w:rsid w:val="00145FCE"/>
    <w:rsid w:val="001519D8"/>
    <w:rsid w:val="00167B17"/>
    <w:rsid w:val="001A43DB"/>
    <w:rsid w:val="001A5BD9"/>
    <w:rsid w:val="001B1D9B"/>
    <w:rsid w:val="001B4585"/>
    <w:rsid w:val="001D42F7"/>
    <w:rsid w:val="001D7EC2"/>
    <w:rsid w:val="001E013E"/>
    <w:rsid w:val="0021576C"/>
    <w:rsid w:val="00235624"/>
    <w:rsid w:val="00245C36"/>
    <w:rsid w:val="00262263"/>
    <w:rsid w:val="00263A54"/>
    <w:rsid w:val="00266FDC"/>
    <w:rsid w:val="002834EC"/>
    <w:rsid w:val="002841B1"/>
    <w:rsid w:val="00286FD8"/>
    <w:rsid w:val="002928B0"/>
    <w:rsid w:val="00295DE0"/>
    <w:rsid w:val="002A25F6"/>
    <w:rsid w:val="002A67F8"/>
    <w:rsid w:val="002B3B16"/>
    <w:rsid w:val="002B433D"/>
    <w:rsid w:val="002F0403"/>
    <w:rsid w:val="002F1A9D"/>
    <w:rsid w:val="003036C6"/>
    <w:rsid w:val="00305AA9"/>
    <w:rsid w:val="00305B7A"/>
    <w:rsid w:val="003222BB"/>
    <w:rsid w:val="00325D69"/>
    <w:rsid w:val="0033472B"/>
    <w:rsid w:val="00336CC7"/>
    <w:rsid w:val="00340A59"/>
    <w:rsid w:val="0035414B"/>
    <w:rsid w:val="00373999"/>
    <w:rsid w:val="00381B1D"/>
    <w:rsid w:val="00392C41"/>
    <w:rsid w:val="0039340A"/>
    <w:rsid w:val="003B4948"/>
    <w:rsid w:val="003B59F1"/>
    <w:rsid w:val="003B59F6"/>
    <w:rsid w:val="003B700C"/>
    <w:rsid w:val="003D7524"/>
    <w:rsid w:val="003F1C18"/>
    <w:rsid w:val="00400A2C"/>
    <w:rsid w:val="00401AC5"/>
    <w:rsid w:val="00403E02"/>
    <w:rsid w:val="004057B3"/>
    <w:rsid w:val="0041374C"/>
    <w:rsid w:val="00430B8F"/>
    <w:rsid w:val="00431FEF"/>
    <w:rsid w:val="00451D6D"/>
    <w:rsid w:val="00481076"/>
    <w:rsid w:val="004A1284"/>
    <w:rsid w:val="004B1424"/>
    <w:rsid w:val="004C6804"/>
    <w:rsid w:val="004E6CA3"/>
    <w:rsid w:val="004F7434"/>
    <w:rsid w:val="0051144D"/>
    <w:rsid w:val="00525540"/>
    <w:rsid w:val="00544C03"/>
    <w:rsid w:val="00550145"/>
    <w:rsid w:val="0055428B"/>
    <w:rsid w:val="00573E13"/>
    <w:rsid w:val="00582A39"/>
    <w:rsid w:val="005A51C5"/>
    <w:rsid w:val="005A766D"/>
    <w:rsid w:val="005E604C"/>
    <w:rsid w:val="005F5916"/>
    <w:rsid w:val="005F70A0"/>
    <w:rsid w:val="006236FB"/>
    <w:rsid w:val="00627419"/>
    <w:rsid w:val="00644919"/>
    <w:rsid w:val="006471A4"/>
    <w:rsid w:val="0064757E"/>
    <w:rsid w:val="0067008A"/>
    <w:rsid w:val="006810B8"/>
    <w:rsid w:val="006A5BAB"/>
    <w:rsid w:val="006A78A6"/>
    <w:rsid w:val="006C4BFC"/>
    <w:rsid w:val="006D24D6"/>
    <w:rsid w:val="006E6A5C"/>
    <w:rsid w:val="006F116C"/>
    <w:rsid w:val="006F2E74"/>
    <w:rsid w:val="006F7FFC"/>
    <w:rsid w:val="007058B1"/>
    <w:rsid w:val="007331F3"/>
    <w:rsid w:val="00742F73"/>
    <w:rsid w:val="0074491D"/>
    <w:rsid w:val="00756CD9"/>
    <w:rsid w:val="00767523"/>
    <w:rsid w:val="00771247"/>
    <w:rsid w:val="00782440"/>
    <w:rsid w:val="00783BF9"/>
    <w:rsid w:val="007C06B2"/>
    <w:rsid w:val="007C4345"/>
    <w:rsid w:val="007C4628"/>
    <w:rsid w:val="007D4ACB"/>
    <w:rsid w:val="007F064D"/>
    <w:rsid w:val="00814E64"/>
    <w:rsid w:val="00824E8E"/>
    <w:rsid w:val="008341D1"/>
    <w:rsid w:val="008366AC"/>
    <w:rsid w:val="0084208D"/>
    <w:rsid w:val="008639D3"/>
    <w:rsid w:val="0087744D"/>
    <w:rsid w:val="0088346C"/>
    <w:rsid w:val="008A1794"/>
    <w:rsid w:val="008D2247"/>
    <w:rsid w:val="008D4AD9"/>
    <w:rsid w:val="008E573B"/>
    <w:rsid w:val="00901C14"/>
    <w:rsid w:val="0090512F"/>
    <w:rsid w:val="009072D9"/>
    <w:rsid w:val="009745EE"/>
    <w:rsid w:val="00976B7B"/>
    <w:rsid w:val="009A04B6"/>
    <w:rsid w:val="009A1009"/>
    <w:rsid w:val="009B0042"/>
    <w:rsid w:val="009B1027"/>
    <w:rsid w:val="009B5DF5"/>
    <w:rsid w:val="009F2FB0"/>
    <w:rsid w:val="009F3CB3"/>
    <w:rsid w:val="009F6001"/>
    <w:rsid w:val="00A10227"/>
    <w:rsid w:val="00A1160B"/>
    <w:rsid w:val="00A35AB2"/>
    <w:rsid w:val="00A37719"/>
    <w:rsid w:val="00A45805"/>
    <w:rsid w:val="00A561D2"/>
    <w:rsid w:val="00A655ED"/>
    <w:rsid w:val="00A80812"/>
    <w:rsid w:val="00AA6CCC"/>
    <w:rsid w:val="00AC054B"/>
    <w:rsid w:val="00AC2856"/>
    <w:rsid w:val="00AC40AC"/>
    <w:rsid w:val="00AC66AB"/>
    <w:rsid w:val="00AD37EC"/>
    <w:rsid w:val="00AD6E49"/>
    <w:rsid w:val="00AE11B5"/>
    <w:rsid w:val="00AE2113"/>
    <w:rsid w:val="00AF434D"/>
    <w:rsid w:val="00B0252A"/>
    <w:rsid w:val="00B16535"/>
    <w:rsid w:val="00B21C9E"/>
    <w:rsid w:val="00B22A51"/>
    <w:rsid w:val="00B23CF2"/>
    <w:rsid w:val="00B2559E"/>
    <w:rsid w:val="00B3143F"/>
    <w:rsid w:val="00B43EA9"/>
    <w:rsid w:val="00B54C32"/>
    <w:rsid w:val="00B6198C"/>
    <w:rsid w:val="00B72AE8"/>
    <w:rsid w:val="00B9292D"/>
    <w:rsid w:val="00BA17DA"/>
    <w:rsid w:val="00BD4C94"/>
    <w:rsid w:val="00BE5454"/>
    <w:rsid w:val="00BE7617"/>
    <w:rsid w:val="00BF19CD"/>
    <w:rsid w:val="00BF7FA3"/>
    <w:rsid w:val="00C04F6E"/>
    <w:rsid w:val="00C21138"/>
    <w:rsid w:val="00C23627"/>
    <w:rsid w:val="00C2543C"/>
    <w:rsid w:val="00C36E3F"/>
    <w:rsid w:val="00C438AF"/>
    <w:rsid w:val="00C517B8"/>
    <w:rsid w:val="00C606FC"/>
    <w:rsid w:val="00C60A38"/>
    <w:rsid w:val="00C6663B"/>
    <w:rsid w:val="00C8583F"/>
    <w:rsid w:val="00C865D4"/>
    <w:rsid w:val="00C87532"/>
    <w:rsid w:val="00CA1E33"/>
    <w:rsid w:val="00CB0D6C"/>
    <w:rsid w:val="00CB5EC8"/>
    <w:rsid w:val="00CE2639"/>
    <w:rsid w:val="00D32CD6"/>
    <w:rsid w:val="00D32F43"/>
    <w:rsid w:val="00D3385E"/>
    <w:rsid w:val="00D33ED2"/>
    <w:rsid w:val="00D45FCE"/>
    <w:rsid w:val="00D54F67"/>
    <w:rsid w:val="00D600D0"/>
    <w:rsid w:val="00D95FD2"/>
    <w:rsid w:val="00DA15FD"/>
    <w:rsid w:val="00DB0D05"/>
    <w:rsid w:val="00DB4522"/>
    <w:rsid w:val="00DC1F20"/>
    <w:rsid w:val="00DC6B39"/>
    <w:rsid w:val="00DD73DC"/>
    <w:rsid w:val="00DE364D"/>
    <w:rsid w:val="00DF7C39"/>
    <w:rsid w:val="00E03E8D"/>
    <w:rsid w:val="00E14DC8"/>
    <w:rsid w:val="00E15523"/>
    <w:rsid w:val="00E16D11"/>
    <w:rsid w:val="00E410A6"/>
    <w:rsid w:val="00E61C6A"/>
    <w:rsid w:val="00E62F23"/>
    <w:rsid w:val="00E73764"/>
    <w:rsid w:val="00E848B8"/>
    <w:rsid w:val="00EA5E54"/>
    <w:rsid w:val="00EC6030"/>
    <w:rsid w:val="00ED45AD"/>
    <w:rsid w:val="00F11928"/>
    <w:rsid w:val="00F159DB"/>
    <w:rsid w:val="00F343D3"/>
    <w:rsid w:val="00F566FE"/>
    <w:rsid w:val="00F71604"/>
    <w:rsid w:val="00F801A5"/>
    <w:rsid w:val="00F97EC8"/>
    <w:rsid w:val="00FC0459"/>
    <w:rsid w:val="0120B70E"/>
    <w:rsid w:val="02F3AD08"/>
    <w:rsid w:val="0321560D"/>
    <w:rsid w:val="038ACCA1"/>
    <w:rsid w:val="03CAA5B5"/>
    <w:rsid w:val="069D3D16"/>
    <w:rsid w:val="08483449"/>
    <w:rsid w:val="09A54ABD"/>
    <w:rsid w:val="0A6A20A6"/>
    <w:rsid w:val="0B501DB7"/>
    <w:rsid w:val="0C1E07BB"/>
    <w:rsid w:val="0F3650C6"/>
    <w:rsid w:val="109C3DB7"/>
    <w:rsid w:val="132DE855"/>
    <w:rsid w:val="14B9D434"/>
    <w:rsid w:val="152C7CC7"/>
    <w:rsid w:val="166A04CD"/>
    <w:rsid w:val="1677CE7D"/>
    <w:rsid w:val="1811A91A"/>
    <w:rsid w:val="1959BD9D"/>
    <w:rsid w:val="19D3786C"/>
    <w:rsid w:val="1FB2A38B"/>
    <w:rsid w:val="21596F9C"/>
    <w:rsid w:val="2237BAB3"/>
    <w:rsid w:val="225A63AD"/>
    <w:rsid w:val="23453E2A"/>
    <w:rsid w:val="2467DD67"/>
    <w:rsid w:val="26D3E50E"/>
    <w:rsid w:val="27C159AD"/>
    <w:rsid w:val="2A6B36B3"/>
    <w:rsid w:val="2A749744"/>
    <w:rsid w:val="2B5FC871"/>
    <w:rsid w:val="2BD05CA5"/>
    <w:rsid w:val="2C6C7817"/>
    <w:rsid w:val="2CD978D7"/>
    <w:rsid w:val="2D6C3AD2"/>
    <w:rsid w:val="2EE21F3C"/>
    <w:rsid w:val="2EFFCF3E"/>
    <w:rsid w:val="2FB38FA0"/>
    <w:rsid w:val="2FC58810"/>
    <w:rsid w:val="3175EB22"/>
    <w:rsid w:val="31C8018C"/>
    <w:rsid w:val="339664F4"/>
    <w:rsid w:val="34C59A6A"/>
    <w:rsid w:val="35E13356"/>
    <w:rsid w:val="3602B68D"/>
    <w:rsid w:val="380CF42D"/>
    <w:rsid w:val="38A1FE9B"/>
    <w:rsid w:val="39814E93"/>
    <w:rsid w:val="39A613D4"/>
    <w:rsid w:val="3B0798DC"/>
    <w:rsid w:val="3C5DB29E"/>
    <w:rsid w:val="3F4FD9A7"/>
    <w:rsid w:val="40289779"/>
    <w:rsid w:val="43B5778F"/>
    <w:rsid w:val="445FBA89"/>
    <w:rsid w:val="460C4326"/>
    <w:rsid w:val="492994D7"/>
    <w:rsid w:val="4BCDAA92"/>
    <w:rsid w:val="4C56CCDF"/>
    <w:rsid w:val="4EC0C425"/>
    <w:rsid w:val="4F25363E"/>
    <w:rsid w:val="4F734429"/>
    <w:rsid w:val="51D26CB4"/>
    <w:rsid w:val="51FCF1B2"/>
    <w:rsid w:val="527CEE95"/>
    <w:rsid w:val="530BC0D3"/>
    <w:rsid w:val="53A8CFB5"/>
    <w:rsid w:val="5421BEFE"/>
    <w:rsid w:val="54237F76"/>
    <w:rsid w:val="55BB9F1B"/>
    <w:rsid w:val="57746F43"/>
    <w:rsid w:val="577D4C5B"/>
    <w:rsid w:val="59A45F59"/>
    <w:rsid w:val="59E1B455"/>
    <w:rsid w:val="5A08A29F"/>
    <w:rsid w:val="5ABEB82E"/>
    <w:rsid w:val="5BBFCE40"/>
    <w:rsid w:val="5C9F42A9"/>
    <w:rsid w:val="6074F090"/>
    <w:rsid w:val="62305FAF"/>
    <w:rsid w:val="6396096C"/>
    <w:rsid w:val="6529DEEA"/>
    <w:rsid w:val="664DA99E"/>
    <w:rsid w:val="6790BDB9"/>
    <w:rsid w:val="679422FD"/>
    <w:rsid w:val="6879B0AA"/>
    <w:rsid w:val="68A74DE5"/>
    <w:rsid w:val="68CD78EC"/>
    <w:rsid w:val="6A6FD913"/>
    <w:rsid w:val="6F1D7D40"/>
    <w:rsid w:val="6FC4A429"/>
    <w:rsid w:val="71C68BEB"/>
    <w:rsid w:val="7223CAC4"/>
    <w:rsid w:val="73F05EC5"/>
    <w:rsid w:val="745D0BD7"/>
    <w:rsid w:val="752595BB"/>
    <w:rsid w:val="7683B95B"/>
    <w:rsid w:val="7A1A8FAE"/>
    <w:rsid w:val="7A1D2063"/>
    <w:rsid w:val="7AFF6273"/>
    <w:rsid w:val="7C89EF0F"/>
    <w:rsid w:val="7D7E0133"/>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760D9"/>
  <w15:docId w15:val="{B68DA630-C9BA-439A-AAC7-81E9F4F44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425"/>
  </w:style>
  <w:style w:type="paragraph" w:styleId="Heading1">
    <w:name w:val="heading 1"/>
    <w:basedOn w:val="Normal"/>
    <w:next w:val="Normal"/>
    <w:link w:val="Heading1Char"/>
    <w:uiPriority w:val="9"/>
    <w:qFormat/>
    <w:rsid w:val="00D45F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5F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5F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5F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5F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5F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5F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5F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5F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F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5F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5F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5F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5F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5F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5F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5F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5FCE"/>
    <w:rPr>
      <w:rFonts w:eastAsiaTheme="majorEastAsia" w:cstheme="majorBidi"/>
      <w:color w:val="272727" w:themeColor="text1" w:themeTint="D8"/>
    </w:rPr>
  </w:style>
  <w:style w:type="paragraph" w:styleId="Title">
    <w:name w:val="Title"/>
    <w:basedOn w:val="Normal"/>
    <w:next w:val="Normal"/>
    <w:link w:val="TitleChar"/>
    <w:uiPriority w:val="10"/>
    <w:qFormat/>
    <w:rsid w:val="00D45F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5F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5F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5F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5FCE"/>
    <w:pPr>
      <w:spacing w:before="160"/>
      <w:jc w:val="center"/>
    </w:pPr>
    <w:rPr>
      <w:i/>
      <w:iCs/>
      <w:color w:val="404040" w:themeColor="text1" w:themeTint="BF"/>
    </w:rPr>
  </w:style>
  <w:style w:type="character" w:customStyle="1" w:styleId="QuoteChar">
    <w:name w:val="Quote Char"/>
    <w:basedOn w:val="DefaultParagraphFont"/>
    <w:link w:val="Quote"/>
    <w:uiPriority w:val="29"/>
    <w:rsid w:val="00D45FCE"/>
    <w:rPr>
      <w:i/>
      <w:iCs/>
      <w:color w:val="404040" w:themeColor="text1" w:themeTint="BF"/>
    </w:rPr>
  </w:style>
  <w:style w:type="paragraph" w:styleId="ListParagraph">
    <w:name w:val="List Paragraph"/>
    <w:basedOn w:val="Normal"/>
    <w:uiPriority w:val="34"/>
    <w:qFormat/>
    <w:rsid w:val="00D45FCE"/>
    <w:pPr>
      <w:ind w:left="720"/>
      <w:contextualSpacing/>
    </w:pPr>
  </w:style>
  <w:style w:type="character" w:styleId="IntenseEmphasis">
    <w:name w:val="Intense Emphasis"/>
    <w:basedOn w:val="DefaultParagraphFont"/>
    <w:uiPriority w:val="21"/>
    <w:qFormat/>
    <w:rsid w:val="00D45FCE"/>
    <w:rPr>
      <w:i/>
      <w:iCs/>
      <w:color w:val="0F4761" w:themeColor="accent1" w:themeShade="BF"/>
    </w:rPr>
  </w:style>
  <w:style w:type="paragraph" w:styleId="IntenseQuote">
    <w:name w:val="Intense Quote"/>
    <w:basedOn w:val="Normal"/>
    <w:next w:val="Normal"/>
    <w:link w:val="IntenseQuoteChar"/>
    <w:uiPriority w:val="30"/>
    <w:qFormat/>
    <w:rsid w:val="00D45F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5FCE"/>
    <w:rPr>
      <w:i/>
      <w:iCs/>
      <w:color w:val="0F4761" w:themeColor="accent1" w:themeShade="BF"/>
    </w:rPr>
  </w:style>
  <w:style w:type="character" w:styleId="IntenseReference">
    <w:name w:val="Intense Reference"/>
    <w:basedOn w:val="DefaultParagraphFont"/>
    <w:uiPriority w:val="32"/>
    <w:qFormat/>
    <w:rsid w:val="00D45FCE"/>
    <w:rPr>
      <w:b/>
      <w:bCs/>
      <w:smallCaps/>
      <w:color w:val="0F4761" w:themeColor="accent1" w:themeShade="BF"/>
      <w:spacing w:val="5"/>
    </w:rPr>
  </w:style>
  <w:style w:type="paragraph" w:styleId="Header">
    <w:name w:val="header"/>
    <w:basedOn w:val="Normal"/>
    <w:link w:val="HeaderChar"/>
    <w:uiPriority w:val="99"/>
    <w:unhideWhenUsed/>
    <w:rsid w:val="00D45FCE"/>
    <w:pPr>
      <w:tabs>
        <w:tab w:val="center" w:pos="4252"/>
        <w:tab w:val="right" w:pos="8504"/>
      </w:tabs>
      <w:spacing w:after="0" w:line="240" w:lineRule="auto"/>
    </w:pPr>
  </w:style>
  <w:style w:type="character" w:customStyle="1" w:styleId="HeaderChar">
    <w:name w:val="Header Char"/>
    <w:basedOn w:val="DefaultParagraphFont"/>
    <w:link w:val="Header"/>
    <w:uiPriority w:val="99"/>
    <w:rsid w:val="00D45FCE"/>
  </w:style>
  <w:style w:type="paragraph" w:styleId="Footer">
    <w:name w:val="footer"/>
    <w:basedOn w:val="Normal"/>
    <w:link w:val="FooterChar"/>
    <w:uiPriority w:val="99"/>
    <w:unhideWhenUsed/>
    <w:rsid w:val="00D45FCE"/>
    <w:pPr>
      <w:tabs>
        <w:tab w:val="center" w:pos="4252"/>
        <w:tab w:val="right" w:pos="8504"/>
      </w:tabs>
      <w:spacing w:after="0" w:line="240" w:lineRule="auto"/>
    </w:pPr>
  </w:style>
  <w:style w:type="character" w:customStyle="1" w:styleId="FooterChar">
    <w:name w:val="Footer Char"/>
    <w:basedOn w:val="DefaultParagraphFont"/>
    <w:link w:val="Footer"/>
    <w:uiPriority w:val="99"/>
    <w:rsid w:val="00D45FCE"/>
  </w:style>
  <w:style w:type="table" w:styleId="TableGrid">
    <w:name w:val="Table Grid"/>
    <w:basedOn w:val="TableNormal"/>
    <w:uiPriority w:val="39"/>
    <w:rsid w:val="00AD6E49"/>
    <w:pPr>
      <w:spacing w:after="0" w:line="240" w:lineRule="auto"/>
    </w:pPr>
    <w:rPr>
      <w:kern w:val="0"/>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6E49"/>
    <w:rPr>
      <w:color w:val="0000FF"/>
      <w:u w:val="single"/>
    </w:rPr>
  </w:style>
  <w:style w:type="character" w:styleId="UnresolvedMention">
    <w:name w:val="Unresolved Mention"/>
    <w:basedOn w:val="DefaultParagraphFont"/>
    <w:uiPriority w:val="99"/>
    <w:semiHidden/>
    <w:unhideWhenUsed/>
    <w:rsid w:val="002834EC"/>
    <w:rPr>
      <w:color w:val="605E5C"/>
      <w:shd w:val="clear" w:color="auto" w:fill="E1DFDD"/>
    </w:rPr>
  </w:style>
  <w:style w:type="paragraph" w:styleId="NormalWeb">
    <w:name w:val="Normal (Web)"/>
    <w:basedOn w:val="Normal"/>
    <w:uiPriority w:val="99"/>
    <w:semiHidden/>
    <w:unhideWhenUsed/>
    <w:rsid w:val="003B4948"/>
    <w:pPr>
      <w:spacing w:before="100" w:beforeAutospacing="1" w:after="100" w:afterAutospacing="1" w:line="240" w:lineRule="auto"/>
    </w:pPr>
    <w:rPr>
      <w:rFonts w:ascii="Times New Roman" w:eastAsia="Times New Roman" w:hAnsi="Times New Roman" w:cs="Times New Roman"/>
      <w:kern w:val="0"/>
      <w:sz w:val="24"/>
      <w:szCs w:val="24"/>
      <w:lang w:val="pl-PL" w:eastAsia="pl-PL"/>
    </w:rPr>
  </w:style>
  <w:style w:type="character" w:styleId="FollowedHyperlink">
    <w:name w:val="FollowedHyperlink"/>
    <w:basedOn w:val="DefaultParagraphFont"/>
    <w:uiPriority w:val="99"/>
    <w:semiHidden/>
    <w:unhideWhenUsed/>
    <w:rsid w:val="005F70A0"/>
    <w:rPr>
      <w:color w:val="96607D" w:themeColor="followedHyperlink"/>
      <w:u w:val="single"/>
    </w:rPr>
  </w:style>
  <w:style w:type="paragraph" w:styleId="EndnoteText">
    <w:name w:val="endnote text"/>
    <w:basedOn w:val="Normal"/>
    <w:link w:val="EndnoteTextChar"/>
    <w:uiPriority w:val="99"/>
    <w:semiHidden/>
    <w:unhideWhenUsed/>
    <w:rsid w:val="00B929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292D"/>
    <w:rPr>
      <w:sz w:val="20"/>
      <w:szCs w:val="20"/>
    </w:rPr>
  </w:style>
  <w:style w:type="character" w:styleId="EndnoteReference">
    <w:name w:val="endnote reference"/>
    <w:basedOn w:val="DefaultParagraphFont"/>
    <w:uiPriority w:val="99"/>
    <w:semiHidden/>
    <w:unhideWhenUsed/>
    <w:rsid w:val="00B9292D"/>
    <w:rPr>
      <w:vertAlign w:val="superscript"/>
    </w:rPr>
  </w:style>
  <w:style w:type="character" w:styleId="CommentReference">
    <w:name w:val="annotation reference"/>
    <w:basedOn w:val="DefaultParagraphFont"/>
    <w:uiPriority w:val="99"/>
    <w:semiHidden/>
    <w:unhideWhenUsed/>
    <w:rsid w:val="003222BB"/>
    <w:rPr>
      <w:sz w:val="16"/>
      <w:szCs w:val="16"/>
    </w:rPr>
  </w:style>
  <w:style w:type="paragraph" w:styleId="CommentText">
    <w:name w:val="annotation text"/>
    <w:basedOn w:val="Normal"/>
    <w:link w:val="CommentTextChar"/>
    <w:uiPriority w:val="99"/>
    <w:unhideWhenUsed/>
    <w:rsid w:val="003222BB"/>
    <w:pPr>
      <w:spacing w:line="240" w:lineRule="auto"/>
    </w:pPr>
    <w:rPr>
      <w:sz w:val="20"/>
      <w:szCs w:val="20"/>
    </w:rPr>
  </w:style>
  <w:style w:type="character" w:customStyle="1" w:styleId="CommentTextChar">
    <w:name w:val="Comment Text Char"/>
    <w:basedOn w:val="DefaultParagraphFont"/>
    <w:link w:val="CommentText"/>
    <w:uiPriority w:val="99"/>
    <w:rsid w:val="003222BB"/>
    <w:rPr>
      <w:sz w:val="20"/>
      <w:szCs w:val="20"/>
    </w:rPr>
  </w:style>
  <w:style w:type="paragraph" w:styleId="CommentSubject">
    <w:name w:val="annotation subject"/>
    <w:basedOn w:val="CommentText"/>
    <w:next w:val="CommentText"/>
    <w:link w:val="CommentSubjectChar"/>
    <w:uiPriority w:val="99"/>
    <w:semiHidden/>
    <w:unhideWhenUsed/>
    <w:rsid w:val="003222BB"/>
    <w:rPr>
      <w:b/>
      <w:bCs/>
    </w:rPr>
  </w:style>
  <w:style w:type="character" w:customStyle="1" w:styleId="CommentSubjectChar">
    <w:name w:val="Comment Subject Char"/>
    <w:basedOn w:val="CommentTextChar"/>
    <w:link w:val="CommentSubject"/>
    <w:uiPriority w:val="99"/>
    <w:semiHidden/>
    <w:rsid w:val="003222BB"/>
    <w:rPr>
      <w:b/>
      <w:bCs/>
      <w:sz w:val="20"/>
      <w:szCs w:val="20"/>
    </w:rPr>
  </w:style>
  <w:style w:type="paragraph" w:styleId="BalloonText">
    <w:name w:val="Balloon Text"/>
    <w:basedOn w:val="Normal"/>
    <w:link w:val="BalloonTextChar"/>
    <w:uiPriority w:val="99"/>
    <w:semiHidden/>
    <w:unhideWhenUsed/>
    <w:rsid w:val="003222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2BB"/>
    <w:rPr>
      <w:rFonts w:ascii="Segoe UI" w:hAnsi="Segoe UI" w:cs="Segoe UI"/>
      <w:sz w:val="18"/>
      <w:szCs w:val="18"/>
    </w:rPr>
  </w:style>
  <w:style w:type="paragraph" w:styleId="Revision">
    <w:name w:val="Revision"/>
    <w:hidden/>
    <w:uiPriority w:val="99"/>
    <w:semiHidden/>
    <w:rsid w:val="00CE2639"/>
    <w:pPr>
      <w:spacing w:after="0" w:line="240" w:lineRule="auto"/>
    </w:pPr>
  </w:style>
  <w:style w:type="character" w:styleId="Emphasis">
    <w:name w:val="Emphasis"/>
    <w:basedOn w:val="DefaultParagraphFont"/>
    <w:uiPriority w:val="20"/>
    <w:qFormat/>
    <w:rsid w:val="00A808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997352">
      <w:bodyDiv w:val="1"/>
      <w:marLeft w:val="0"/>
      <w:marRight w:val="0"/>
      <w:marTop w:val="0"/>
      <w:marBottom w:val="0"/>
      <w:divBdr>
        <w:top w:val="none" w:sz="0" w:space="0" w:color="auto"/>
        <w:left w:val="none" w:sz="0" w:space="0" w:color="auto"/>
        <w:bottom w:val="none" w:sz="0" w:space="0" w:color="auto"/>
        <w:right w:val="none" w:sz="0" w:space="0" w:color="auto"/>
      </w:divBdr>
      <w:divsChild>
        <w:div w:id="1305309592">
          <w:marLeft w:val="0"/>
          <w:marRight w:val="0"/>
          <w:marTop w:val="240"/>
          <w:marBottom w:val="240"/>
          <w:divBdr>
            <w:top w:val="none" w:sz="0" w:space="0" w:color="auto"/>
            <w:left w:val="none" w:sz="0" w:space="0" w:color="auto"/>
            <w:bottom w:val="none" w:sz="0" w:space="0" w:color="auto"/>
            <w:right w:val="none" w:sz="0" w:space="0" w:color="auto"/>
          </w:divBdr>
        </w:div>
        <w:div w:id="1849445323">
          <w:marLeft w:val="0"/>
          <w:marRight w:val="0"/>
          <w:marTop w:val="240"/>
          <w:marBottom w:val="240"/>
          <w:divBdr>
            <w:top w:val="none" w:sz="0" w:space="0" w:color="auto"/>
            <w:left w:val="none" w:sz="0" w:space="0" w:color="auto"/>
            <w:bottom w:val="none" w:sz="0" w:space="0" w:color="auto"/>
            <w:right w:val="none" w:sz="0" w:space="0" w:color="auto"/>
          </w:divBdr>
        </w:div>
        <w:div w:id="1177381033">
          <w:marLeft w:val="0"/>
          <w:marRight w:val="0"/>
          <w:marTop w:val="240"/>
          <w:marBottom w:val="240"/>
          <w:divBdr>
            <w:top w:val="none" w:sz="0" w:space="0" w:color="auto"/>
            <w:left w:val="none" w:sz="0" w:space="0" w:color="auto"/>
            <w:bottom w:val="none" w:sz="0" w:space="0" w:color="auto"/>
            <w:right w:val="none" w:sz="0" w:space="0" w:color="auto"/>
          </w:divBdr>
        </w:div>
        <w:div w:id="1199665017">
          <w:marLeft w:val="0"/>
          <w:marRight w:val="0"/>
          <w:marTop w:val="240"/>
          <w:marBottom w:val="240"/>
          <w:divBdr>
            <w:top w:val="none" w:sz="0" w:space="0" w:color="auto"/>
            <w:left w:val="none" w:sz="0" w:space="0" w:color="auto"/>
            <w:bottom w:val="none" w:sz="0" w:space="0" w:color="auto"/>
            <w:right w:val="none" w:sz="0" w:space="0" w:color="auto"/>
          </w:divBdr>
        </w:div>
        <w:div w:id="478769567">
          <w:marLeft w:val="0"/>
          <w:marRight w:val="0"/>
          <w:marTop w:val="240"/>
          <w:marBottom w:val="240"/>
          <w:divBdr>
            <w:top w:val="none" w:sz="0" w:space="0" w:color="auto"/>
            <w:left w:val="none" w:sz="0" w:space="0" w:color="auto"/>
            <w:bottom w:val="none" w:sz="0" w:space="0" w:color="auto"/>
            <w:right w:val="none" w:sz="0" w:space="0" w:color="auto"/>
          </w:divBdr>
        </w:div>
        <w:div w:id="2096780357">
          <w:marLeft w:val="0"/>
          <w:marRight w:val="0"/>
          <w:marTop w:val="240"/>
          <w:marBottom w:val="240"/>
          <w:divBdr>
            <w:top w:val="none" w:sz="0" w:space="0" w:color="auto"/>
            <w:left w:val="none" w:sz="0" w:space="0" w:color="auto"/>
            <w:bottom w:val="none" w:sz="0" w:space="0" w:color="auto"/>
            <w:right w:val="none" w:sz="0" w:space="0" w:color="auto"/>
          </w:divBdr>
        </w:div>
        <w:div w:id="2106342159">
          <w:marLeft w:val="0"/>
          <w:marRight w:val="0"/>
          <w:marTop w:val="240"/>
          <w:marBottom w:val="240"/>
          <w:divBdr>
            <w:top w:val="none" w:sz="0" w:space="0" w:color="auto"/>
            <w:left w:val="none" w:sz="0" w:space="0" w:color="auto"/>
            <w:bottom w:val="none" w:sz="0" w:space="0" w:color="auto"/>
            <w:right w:val="none" w:sz="0" w:space="0" w:color="auto"/>
          </w:divBdr>
        </w:div>
        <w:div w:id="1274020172">
          <w:marLeft w:val="0"/>
          <w:marRight w:val="0"/>
          <w:marTop w:val="240"/>
          <w:marBottom w:val="240"/>
          <w:divBdr>
            <w:top w:val="none" w:sz="0" w:space="0" w:color="auto"/>
            <w:left w:val="none" w:sz="0" w:space="0" w:color="auto"/>
            <w:bottom w:val="none" w:sz="0" w:space="0" w:color="auto"/>
            <w:right w:val="none" w:sz="0" w:space="0" w:color="auto"/>
          </w:divBdr>
        </w:div>
        <w:div w:id="1492479507">
          <w:marLeft w:val="0"/>
          <w:marRight w:val="0"/>
          <w:marTop w:val="240"/>
          <w:marBottom w:val="240"/>
          <w:divBdr>
            <w:top w:val="none" w:sz="0" w:space="0" w:color="auto"/>
            <w:left w:val="none" w:sz="0" w:space="0" w:color="auto"/>
            <w:bottom w:val="none" w:sz="0" w:space="0" w:color="auto"/>
            <w:right w:val="none" w:sz="0" w:space="0" w:color="auto"/>
          </w:divBdr>
        </w:div>
        <w:div w:id="36273026">
          <w:marLeft w:val="0"/>
          <w:marRight w:val="0"/>
          <w:marTop w:val="240"/>
          <w:marBottom w:val="240"/>
          <w:divBdr>
            <w:top w:val="none" w:sz="0" w:space="0" w:color="auto"/>
            <w:left w:val="none" w:sz="0" w:space="0" w:color="auto"/>
            <w:bottom w:val="none" w:sz="0" w:space="0" w:color="auto"/>
            <w:right w:val="none" w:sz="0" w:space="0" w:color="auto"/>
          </w:divBdr>
        </w:div>
        <w:div w:id="1435443931">
          <w:marLeft w:val="0"/>
          <w:marRight w:val="0"/>
          <w:marTop w:val="240"/>
          <w:marBottom w:val="240"/>
          <w:divBdr>
            <w:top w:val="none" w:sz="0" w:space="0" w:color="auto"/>
            <w:left w:val="none" w:sz="0" w:space="0" w:color="auto"/>
            <w:bottom w:val="none" w:sz="0" w:space="0" w:color="auto"/>
            <w:right w:val="none" w:sz="0" w:space="0" w:color="auto"/>
          </w:divBdr>
        </w:div>
        <w:div w:id="1069771035">
          <w:marLeft w:val="0"/>
          <w:marRight w:val="0"/>
          <w:marTop w:val="240"/>
          <w:marBottom w:val="240"/>
          <w:divBdr>
            <w:top w:val="none" w:sz="0" w:space="0" w:color="auto"/>
            <w:left w:val="none" w:sz="0" w:space="0" w:color="auto"/>
            <w:bottom w:val="none" w:sz="0" w:space="0" w:color="auto"/>
            <w:right w:val="none" w:sz="0" w:space="0" w:color="auto"/>
          </w:divBdr>
        </w:div>
        <w:div w:id="1207332433">
          <w:marLeft w:val="0"/>
          <w:marRight w:val="0"/>
          <w:marTop w:val="240"/>
          <w:marBottom w:val="240"/>
          <w:divBdr>
            <w:top w:val="none" w:sz="0" w:space="0" w:color="auto"/>
            <w:left w:val="none" w:sz="0" w:space="0" w:color="auto"/>
            <w:bottom w:val="none" w:sz="0" w:space="0" w:color="auto"/>
            <w:right w:val="none" w:sz="0" w:space="0" w:color="auto"/>
          </w:divBdr>
        </w:div>
        <w:div w:id="1428113457">
          <w:marLeft w:val="0"/>
          <w:marRight w:val="0"/>
          <w:marTop w:val="240"/>
          <w:marBottom w:val="240"/>
          <w:divBdr>
            <w:top w:val="none" w:sz="0" w:space="0" w:color="auto"/>
            <w:left w:val="none" w:sz="0" w:space="0" w:color="auto"/>
            <w:bottom w:val="none" w:sz="0" w:space="0" w:color="auto"/>
            <w:right w:val="none" w:sz="0" w:space="0" w:color="auto"/>
          </w:divBdr>
        </w:div>
        <w:div w:id="512114828">
          <w:marLeft w:val="0"/>
          <w:marRight w:val="0"/>
          <w:marTop w:val="240"/>
          <w:marBottom w:val="240"/>
          <w:divBdr>
            <w:top w:val="none" w:sz="0" w:space="0" w:color="auto"/>
            <w:left w:val="none" w:sz="0" w:space="0" w:color="auto"/>
            <w:bottom w:val="none" w:sz="0" w:space="0" w:color="auto"/>
            <w:right w:val="none" w:sz="0" w:space="0" w:color="auto"/>
          </w:divBdr>
        </w:div>
        <w:div w:id="1683168204">
          <w:marLeft w:val="0"/>
          <w:marRight w:val="0"/>
          <w:marTop w:val="240"/>
          <w:marBottom w:val="240"/>
          <w:divBdr>
            <w:top w:val="none" w:sz="0" w:space="0" w:color="auto"/>
            <w:left w:val="none" w:sz="0" w:space="0" w:color="auto"/>
            <w:bottom w:val="none" w:sz="0" w:space="0" w:color="auto"/>
            <w:right w:val="none" w:sz="0" w:space="0" w:color="auto"/>
          </w:divBdr>
        </w:div>
        <w:div w:id="1979410749">
          <w:marLeft w:val="0"/>
          <w:marRight w:val="0"/>
          <w:marTop w:val="240"/>
          <w:marBottom w:val="240"/>
          <w:divBdr>
            <w:top w:val="none" w:sz="0" w:space="0" w:color="auto"/>
            <w:left w:val="none" w:sz="0" w:space="0" w:color="auto"/>
            <w:bottom w:val="none" w:sz="0" w:space="0" w:color="auto"/>
            <w:right w:val="none" w:sz="0" w:space="0" w:color="auto"/>
          </w:divBdr>
        </w:div>
        <w:div w:id="2069067341">
          <w:marLeft w:val="0"/>
          <w:marRight w:val="0"/>
          <w:marTop w:val="240"/>
          <w:marBottom w:val="240"/>
          <w:divBdr>
            <w:top w:val="none" w:sz="0" w:space="0" w:color="auto"/>
            <w:left w:val="none" w:sz="0" w:space="0" w:color="auto"/>
            <w:bottom w:val="none" w:sz="0" w:space="0" w:color="auto"/>
            <w:right w:val="none" w:sz="0" w:space="0" w:color="auto"/>
          </w:divBdr>
        </w:div>
        <w:div w:id="336924548">
          <w:marLeft w:val="0"/>
          <w:marRight w:val="0"/>
          <w:marTop w:val="240"/>
          <w:marBottom w:val="240"/>
          <w:divBdr>
            <w:top w:val="none" w:sz="0" w:space="0" w:color="auto"/>
            <w:left w:val="none" w:sz="0" w:space="0" w:color="auto"/>
            <w:bottom w:val="none" w:sz="0" w:space="0" w:color="auto"/>
            <w:right w:val="none" w:sz="0" w:space="0" w:color="auto"/>
          </w:divBdr>
        </w:div>
        <w:div w:id="1252466446">
          <w:marLeft w:val="0"/>
          <w:marRight w:val="0"/>
          <w:marTop w:val="240"/>
          <w:marBottom w:val="240"/>
          <w:divBdr>
            <w:top w:val="none" w:sz="0" w:space="0" w:color="auto"/>
            <w:left w:val="none" w:sz="0" w:space="0" w:color="auto"/>
            <w:bottom w:val="none" w:sz="0" w:space="0" w:color="auto"/>
            <w:right w:val="none" w:sz="0" w:space="0" w:color="auto"/>
          </w:divBdr>
        </w:div>
        <w:div w:id="1516311873">
          <w:marLeft w:val="0"/>
          <w:marRight w:val="0"/>
          <w:marTop w:val="240"/>
          <w:marBottom w:val="240"/>
          <w:divBdr>
            <w:top w:val="none" w:sz="0" w:space="0" w:color="auto"/>
            <w:left w:val="none" w:sz="0" w:space="0" w:color="auto"/>
            <w:bottom w:val="none" w:sz="0" w:space="0" w:color="auto"/>
            <w:right w:val="none" w:sz="0" w:space="0" w:color="auto"/>
          </w:divBdr>
        </w:div>
        <w:div w:id="1675957274">
          <w:marLeft w:val="0"/>
          <w:marRight w:val="0"/>
          <w:marTop w:val="240"/>
          <w:marBottom w:val="240"/>
          <w:divBdr>
            <w:top w:val="none" w:sz="0" w:space="0" w:color="auto"/>
            <w:left w:val="none" w:sz="0" w:space="0" w:color="auto"/>
            <w:bottom w:val="none" w:sz="0" w:space="0" w:color="auto"/>
            <w:right w:val="none" w:sz="0" w:space="0" w:color="auto"/>
          </w:divBdr>
        </w:div>
        <w:div w:id="1156603138">
          <w:marLeft w:val="0"/>
          <w:marRight w:val="0"/>
          <w:marTop w:val="240"/>
          <w:marBottom w:val="240"/>
          <w:divBdr>
            <w:top w:val="none" w:sz="0" w:space="0" w:color="auto"/>
            <w:left w:val="none" w:sz="0" w:space="0" w:color="auto"/>
            <w:bottom w:val="none" w:sz="0" w:space="0" w:color="auto"/>
            <w:right w:val="none" w:sz="0" w:space="0" w:color="auto"/>
          </w:divBdr>
        </w:div>
        <w:div w:id="770734877">
          <w:marLeft w:val="0"/>
          <w:marRight w:val="0"/>
          <w:marTop w:val="240"/>
          <w:marBottom w:val="240"/>
          <w:divBdr>
            <w:top w:val="none" w:sz="0" w:space="0" w:color="auto"/>
            <w:left w:val="none" w:sz="0" w:space="0" w:color="auto"/>
            <w:bottom w:val="none" w:sz="0" w:space="0" w:color="auto"/>
            <w:right w:val="none" w:sz="0" w:space="0" w:color="auto"/>
          </w:divBdr>
        </w:div>
        <w:div w:id="1109352611">
          <w:marLeft w:val="0"/>
          <w:marRight w:val="0"/>
          <w:marTop w:val="240"/>
          <w:marBottom w:val="240"/>
          <w:divBdr>
            <w:top w:val="none" w:sz="0" w:space="0" w:color="auto"/>
            <w:left w:val="none" w:sz="0" w:space="0" w:color="auto"/>
            <w:bottom w:val="none" w:sz="0" w:space="0" w:color="auto"/>
            <w:right w:val="none" w:sz="0" w:space="0" w:color="auto"/>
          </w:divBdr>
        </w:div>
        <w:div w:id="1622762177">
          <w:marLeft w:val="0"/>
          <w:marRight w:val="0"/>
          <w:marTop w:val="240"/>
          <w:marBottom w:val="240"/>
          <w:divBdr>
            <w:top w:val="none" w:sz="0" w:space="0" w:color="auto"/>
            <w:left w:val="none" w:sz="0" w:space="0" w:color="auto"/>
            <w:bottom w:val="none" w:sz="0" w:space="0" w:color="auto"/>
            <w:right w:val="none" w:sz="0" w:space="0" w:color="auto"/>
          </w:divBdr>
        </w:div>
      </w:divsChild>
    </w:div>
    <w:div w:id="844591377">
      <w:bodyDiv w:val="1"/>
      <w:marLeft w:val="0"/>
      <w:marRight w:val="0"/>
      <w:marTop w:val="0"/>
      <w:marBottom w:val="0"/>
      <w:divBdr>
        <w:top w:val="none" w:sz="0" w:space="0" w:color="auto"/>
        <w:left w:val="none" w:sz="0" w:space="0" w:color="auto"/>
        <w:bottom w:val="none" w:sz="0" w:space="0" w:color="auto"/>
        <w:right w:val="none" w:sz="0" w:space="0" w:color="auto"/>
      </w:divBdr>
    </w:div>
    <w:div w:id="1632202558">
      <w:bodyDiv w:val="1"/>
      <w:marLeft w:val="0"/>
      <w:marRight w:val="0"/>
      <w:marTop w:val="0"/>
      <w:marBottom w:val="0"/>
      <w:divBdr>
        <w:top w:val="none" w:sz="0" w:space="0" w:color="auto"/>
        <w:left w:val="none" w:sz="0" w:space="0" w:color="auto"/>
        <w:bottom w:val="none" w:sz="0" w:space="0" w:color="auto"/>
        <w:right w:val="none" w:sz="0" w:space="0" w:color="auto"/>
      </w:divBdr>
      <w:divsChild>
        <w:div w:id="1703438126">
          <w:marLeft w:val="0"/>
          <w:marRight w:val="0"/>
          <w:marTop w:val="240"/>
          <w:marBottom w:val="240"/>
          <w:divBdr>
            <w:top w:val="none" w:sz="0" w:space="0" w:color="auto"/>
            <w:left w:val="none" w:sz="0" w:space="0" w:color="auto"/>
            <w:bottom w:val="none" w:sz="0" w:space="0" w:color="auto"/>
            <w:right w:val="none" w:sz="0" w:space="0" w:color="auto"/>
          </w:divBdr>
        </w:div>
        <w:div w:id="1852598321">
          <w:marLeft w:val="0"/>
          <w:marRight w:val="0"/>
          <w:marTop w:val="240"/>
          <w:marBottom w:val="240"/>
          <w:divBdr>
            <w:top w:val="none" w:sz="0" w:space="0" w:color="auto"/>
            <w:left w:val="none" w:sz="0" w:space="0" w:color="auto"/>
            <w:bottom w:val="none" w:sz="0" w:space="0" w:color="auto"/>
            <w:right w:val="none" w:sz="0" w:space="0" w:color="auto"/>
          </w:divBdr>
        </w:div>
        <w:div w:id="1186746272">
          <w:marLeft w:val="0"/>
          <w:marRight w:val="0"/>
          <w:marTop w:val="240"/>
          <w:marBottom w:val="240"/>
          <w:divBdr>
            <w:top w:val="none" w:sz="0" w:space="0" w:color="auto"/>
            <w:left w:val="none" w:sz="0" w:space="0" w:color="auto"/>
            <w:bottom w:val="none" w:sz="0" w:space="0" w:color="auto"/>
            <w:right w:val="none" w:sz="0" w:space="0" w:color="auto"/>
          </w:divBdr>
        </w:div>
        <w:div w:id="1502310922">
          <w:marLeft w:val="0"/>
          <w:marRight w:val="0"/>
          <w:marTop w:val="240"/>
          <w:marBottom w:val="240"/>
          <w:divBdr>
            <w:top w:val="none" w:sz="0" w:space="0" w:color="auto"/>
            <w:left w:val="none" w:sz="0" w:space="0" w:color="auto"/>
            <w:bottom w:val="none" w:sz="0" w:space="0" w:color="auto"/>
            <w:right w:val="none" w:sz="0" w:space="0" w:color="auto"/>
          </w:divBdr>
        </w:div>
        <w:div w:id="104929514">
          <w:marLeft w:val="0"/>
          <w:marRight w:val="0"/>
          <w:marTop w:val="240"/>
          <w:marBottom w:val="240"/>
          <w:divBdr>
            <w:top w:val="none" w:sz="0" w:space="0" w:color="auto"/>
            <w:left w:val="none" w:sz="0" w:space="0" w:color="auto"/>
            <w:bottom w:val="none" w:sz="0" w:space="0" w:color="auto"/>
            <w:right w:val="none" w:sz="0" w:space="0" w:color="auto"/>
          </w:divBdr>
        </w:div>
        <w:div w:id="1641304410">
          <w:marLeft w:val="0"/>
          <w:marRight w:val="0"/>
          <w:marTop w:val="240"/>
          <w:marBottom w:val="240"/>
          <w:divBdr>
            <w:top w:val="none" w:sz="0" w:space="0" w:color="auto"/>
            <w:left w:val="none" w:sz="0" w:space="0" w:color="auto"/>
            <w:bottom w:val="none" w:sz="0" w:space="0" w:color="auto"/>
            <w:right w:val="none" w:sz="0" w:space="0" w:color="auto"/>
          </w:divBdr>
        </w:div>
        <w:div w:id="33817385">
          <w:marLeft w:val="0"/>
          <w:marRight w:val="0"/>
          <w:marTop w:val="240"/>
          <w:marBottom w:val="240"/>
          <w:divBdr>
            <w:top w:val="none" w:sz="0" w:space="0" w:color="auto"/>
            <w:left w:val="none" w:sz="0" w:space="0" w:color="auto"/>
            <w:bottom w:val="none" w:sz="0" w:space="0" w:color="auto"/>
            <w:right w:val="none" w:sz="0" w:space="0" w:color="auto"/>
          </w:divBdr>
        </w:div>
        <w:div w:id="833959627">
          <w:marLeft w:val="0"/>
          <w:marRight w:val="0"/>
          <w:marTop w:val="240"/>
          <w:marBottom w:val="240"/>
          <w:divBdr>
            <w:top w:val="none" w:sz="0" w:space="0" w:color="auto"/>
            <w:left w:val="none" w:sz="0" w:space="0" w:color="auto"/>
            <w:bottom w:val="none" w:sz="0" w:space="0" w:color="auto"/>
            <w:right w:val="none" w:sz="0" w:space="0" w:color="auto"/>
          </w:divBdr>
        </w:div>
        <w:div w:id="699086555">
          <w:marLeft w:val="0"/>
          <w:marRight w:val="0"/>
          <w:marTop w:val="240"/>
          <w:marBottom w:val="240"/>
          <w:divBdr>
            <w:top w:val="none" w:sz="0" w:space="0" w:color="auto"/>
            <w:left w:val="none" w:sz="0" w:space="0" w:color="auto"/>
            <w:bottom w:val="none" w:sz="0" w:space="0" w:color="auto"/>
            <w:right w:val="none" w:sz="0" w:space="0" w:color="auto"/>
          </w:divBdr>
        </w:div>
        <w:div w:id="2020501163">
          <w:marLeft w:val="0"/>
          <w:marRight w:val="0"/>
          <w:marTop w:val="240"/>
          <w:marBottom w:val="240"/>
          <w:divBdr>
            <w:top w:val="none" w:sz="0" w:space="0" w:color="auto"/>
            <w:left w:val="none" w:sz="0" w:space="0" w:color="auto"/>
            <w:bottom w:val="none" w:sz="0" w:space="0" w:color="auto"/>
            <w:right w:val="none" w:sz="0" w:space="0" w:color="auto"/>
          </w:divBdr>
        </w:div>
        <w:div w:id="1157460071">
          <w:marLeft w:val="0"/>
          <w:marRight w:val="0"/>
          <w:marTop w:val="240"/>
          <w:marBottom w:val="240"/>
          <w:divBdr>
            <w:top w:val="none" w:sz="0" w:space="0" w:color="auto"/>
            <w:left w:val="none" w:sz="0" w:space="0" w:color="auto"/>
            <w:bottom w:val="none" w:sz="0" w:space="0" w:color="auto"/>
            <w:right w:val="none" w:sz="0" w:space="0" w:color="auto"/>
          </w:divBdr>
        </w:div>
        <w:div w:id="1083532624">
          <w:marLeft w:val="0"/>
          <w:marRight w:val="0"/>
          <w:marTop w:val="240"/>
          <w:marBottom w:val="240"/>
          <w:divBdr>
            <w:top w:val="none" w:sz="0" w:space="0" w:color="auto"/>
            <w:left w:val="none" w:sz="0" w:space="0" w:color="auto"/>
            <w:bottom w:val="none" w:sz="0" w:space="0" w:color="auto"/>
            <w:right w:val="none" w:sz="0" w:space="0" w:color="auto"/>
          </w:divBdr>
        </w:div>
        <w:div w:id="1384254044">
          <w:marLeft w:val="0"/>
          <w:marRight w:val="0"/>
          <w:marTop w:val="240"/>
          <w:marBottom w:val="240"/>
          <w:divBdr>
            <w:top w:val="none" w:sz="0" w:space="0" w:color="auto"/>
            <w:left w:val="none" w:sz="0" w:space="0" w:color="auto"/>
            <w:bottom w:val="none" w:sz="0" w:space="0" w:color="auto"/>
            <w:right w:val="none" w:sz="0" w:space="0" w:color="auto"/>
          </w:divBdr>
        </w:div>
        <w:div w:id="157354318">
          <w:marLeft w:val="0"/>
          <w:marRight w:val="0"/>
          <w:marTop w:val="240"/>
          <w:marBottom w:val="240"/>
          <w:divBdr>
            <w:top w:val="none" w:sz="0" w:space="0" w:color="auto"/>
            <w:left w:val="none" w:sz="0" w:space="0" w:color="auto"/>
            <w:bottom w:val="none" w:sz="0" w:space="0" w:color="auto"/>
            <w:right w:val="none" w:sz="0" w:space="0" w:color="auto"/>
          </w:divBdr>
        </w:div>
        <w:div w:id="1879851028">
          <w:marLeft w:val="0"/>
          <w:marRight w:val="0"/>
          <w:marTop w:val="240"/>
          <w:marBottom w:val="240"/>
          <w:divBdr>
            <w:top w:val="none" w:sz="0" w:space="0" w:color="auto"/>
            <w:left w:val="none" w:sz="0" w:space="0" w:color="auto"/>
            <w:bottom w:val="none" w:sz="0" w:space="0" w:color="auto"/>
            <w:right w:val="none" w:sz="0" w:space="0" w:color="auto"/>
          </w:divBdr>
        </w:div>
        <w:div w:id="1626809408">
          <w:marLeft w:val="0"/>
          <w:marRight w:val="0"/>
          <w:marTop w:val="240"/>
          <w:marBottom w:val="240"/>
          <w:divBdr>
            <w:top w:val="none" w:sz="0" w:space="0" w:color="auto"/>
            <w:left w:val="none" w:sz="0" w:space="0" w:color="auto"/>
            <w:bottom w:val="none" w:sz="0" w:space="0" w:color="auto"/>
            <w:right w:val="none" w:sz="0" w:space="0" w:color="auto"/>
          </w:divBdr>
        </w:div>
        <w:div w:id="1039822653">
          <w:marLeft w:val="0"/>
          <w:marRight w:val="0"/>
          <w:marTop w:val="240"/>
          <w:marBottom w:val="240"/>
          <w:divBdr>
            <w:top w:val="none" w:sz="0" w:space="0" w:color="auto"/>
            <w:left w:val="none" w:sz="0" w:space="0" w:color="auto"/>
            <w:bottom w:val="none" w:sz="0" w:space="0" w:color="auto"/>
            <w:right w:val="none" w:sz="0" w:space="0" w:color="auto"/>
          </w:divBdr>
        </w:div>
        <w:div w:id="693459422">
          <w:marLeft w:val="0"/>
          <w:marRight w:val="0"/>
          <w:marTop w:val="240"/>
          <w:marBottom w:val="240"/>
          <w:divBdr>
            <w:top w:val="none" w:sz="0" w:space="0" w:color="auto"/>
            <w:left w:val="none" w:sz="0" w:space="0" w:color="auto"/>
            <w:bottom w:val="none" w:sz="0" w:space="0" w:color="auto"/>
            <w:right w:val="none" w:sz="0" w:space="0" w:color="auto"/>
          </w:divBdr>
        </w:div>
        <w:div w:id="977415034">
          <w:marLeft w:val="0"/>
          <w:marRight w:val="0"/>
          <w:marTop w:val="240"/>
          <w:marBottom w:val="240"/>
          <w:divBdr>
            <w:top w:val="none" w:sz="0" w:space="0" w:color="auto"/>
            <w:left w:val="none" w:sz="0" w:space="0" w:color="auto"/>
            <w:bottom w:val="none" w:sz="0" w:space="0" w:color="auto"/>
            <w:right w:val="none" w:sz="0" w:space="0" w:color="auto"/>
          </w:divBdr>
        </w:div>
        <w:div w:id="1837527656">
          <w:marLeft w:val="0"/>
          <w:marRight w:val="0"/>
          <w:marTop w:val="240"/>
          <w:marBottom w:val="240"/>
          <w:divBdr>
            <w:top w:val="none" w:sz="0" w:space="0" w:color="auto"/>
            <w:left w:val="none" w:sz="0" w:space="0" w:color="auto"/>
            <w:bottom w:val="none" w:sz="0" w:space="0" w:color="auto"/>
            <w:right w:val="none" w:sz="0" w:space="0" w:color="auto"/>
          </w:divBdr>
        </w:div>
        <w:div w:id="610936371">
          <w:marLeft w:val="0"/>
          <w:marRight w:val="0"/>
          <w:marTop w:val="240"/>
          <w:marBottom w:val="240"/>
          <w:divBdr>
            <w:top w:val="none" w:sz="0" w:space="0" w:color="auto"/>
            <w:left w:val="none" w:sz="0" w:space="0" w:color="auto"/>
            <w:bottom w:val="none" w:sz="0" w:space="0" w:color="auto"/>
            <w:right w:val="none" w:sz="0" w:space="0" w:color="auto"/>
          </w:divBdr>
        </w:div>
        <w:div w:id="1936327453">
          <w:marLeft w:val="0"/>
          <w:marRight w:val="0"/>
          <w:marTop w:val="240"/>
          <w:marBottom w:val="240"/>
          <w:divBdr>
            <w:top w:val="none" w:sz="0" w:space="0" w:color="auto"/>
            <w:left w:val="none" w:sz="0" w:space="0" w:color="auto"/>
            <w:bottom w:val="none" w:sz="0" w:space="0" w:color="auto"/>
            <w:right w:val="none" w:sz="0" w:space="0" w:color="auto"/>
          </w:divBdr>
        </w:div>
        <w:div w:id="1771663635">
          <w:marLeft w:val="0"/>
          <w:marRight w:val="0"/>
          <w:marTop w:val="240"/>
          <w:marBottom w:val="240"/>
          <w:divBdr>
            <w:top w:val="none" w:sz="0" w:space="0" w:color="auto"/>
            <w:left w:val="none" w:sz="0" w:space="0" w:color="auto"/>
            <w:bottom w:val="none" w:sz="0" w:space="0" w:color="auto"/>
            <w:right w:val="none" w:sz="0" w:space="0" w:color="auto"/>
          </w:divBdr>
        </w:div>
        <w:div w:id="568808480">
          <w:marLeft w:val="0"/>
          <w:marRight w:val="0"/>
          <w:marTop w:val="240"/>
          <w:marBottom w:val="240"/>
          <w:divBdr>
            <w:top w:val="none" w:sz="0" w:space="0" w:color="auto"/>
            <w:left w:val="none" w:sz="0" w:space="0" w:color="auto"/>
            <w:bottom w:val="none" w:sz="0" w:space="0" w:color="auto"/>
            <w:right w:val="none" w:sz="0" w:space="0" w:color="auto"/>
          </w:divBdr>
        </w:div>
        <w:div w:id="1861236659">
          <w:marLeft w:val="0"/>
          <w:marRight w:val="0"/>
          <w:marTop w:val="240"/>
          <w:marBottom w:val="240"/>
          <w:divBdr>
            <w:top w:val="none" w:sz="0" w:space="0" w:color="auto"/>
            <w:left w:val="none" w:sz="0" w:space="0" w:color="auto"/>
            <w:bottom w:val="none" w:sz="0" w:space="0" w:color="auto"/>
            <w:right w:val="none" w:sz="0" w:space="0" w:color="auto"/>
          </w:divBdr>
        </w:div>
        <w:div w:id="1467964748">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landis.org.uk/downloads/downloads/Glossary.pdf" TargetMode="External"/><Relationship Id="rId26" Type="http://schemas.openxmlformats.org/officeDocument/2006/relationships/hyperlink" Target="https://www.uu.nl/en/research/transdisciplinary-field-guide/get-started/what-is-transdisciplinary-research" TargetMode="External"/><Relationship Id="rId21" Type="http://schemas.openxmlformats.org/officeDocument/2006/relationships/hyperlink" Target="https://www.sbcguidance.org/understand/social-and-behaviour-change-communication"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link.springer.com/chapter/10.1007/978-3-031-18923-4_6/figures/4" TargetMode="External"/><Relationship Id="rId17" Type="http://schemas.openxmlformats.org/officeDocument/2006/relationships/hyperlink" Target="https://www.eurovia.org/wp-content/uploads/2016/11/defining-land-grabs.pdf" TargetMode="External"/><Relationship Id="rId25" Type="http://schemas.openxmlformats.org/officeDocument/2006/relationships/hyperlink" Target="https://www.who.int/teams/noncommunicable-diseases/sensory-functions-disability-and-rehabilitation/world-report-on-disability" TargetMode="External"/><Relationship Id="rId33" Type="http://schemas.openxmlformats.org/officeDocument/2006/relationships/hyperlink" Target="https://research-and-innovation.ec.europa.eu/knowledge-publications-tools-and-data/publications/all-publications/implementation-plans-eu-missions_en" TargetMode="External"/><Relationship Id="rId2" Type="http://schemas.openxmlformats.org/officeDocument/2006/relationships/customXml" Target="../customXml/item2.xml"/><Relationship Id="rId16" Type="http://schemas.openxmlformats.org/officeDocument/2006/relationships/hyperlink" Target="https://ohioline.osu.edu/factsheet/SAG-19" TargetMode="External"/><Relationship Id="rId20" Type="http://schemas.openxmlformats.org/officeDocument/2006/relationships/hyperlink" Target="https://doi.org/10.1111/jvs.12727" TargetMode="External"/><Relationship Id="rId29" Type="http://schemas.openxmlformats.org/officeDocument/2006/relationships/hyperlink" Target="https://doi.org/10.4060/cb4476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oed.com/search/dictionary" TargetMode="External"/><Relationship Id="rId32" Type="http://schemas.openxmlformats.org/officeDocument/2006/relationships/hyperlink" Target="https://www.millenniumassessment.org"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ink.springer.com/chapter/10.1007/978-3-031-18923-4_6" TargetMode="External"/><Relationship Id="rId23" Type="http://schemas.openxmlformats.org/officeDocument/2006/relationships/hyperlink" Target="https://doi.org/10.26522/ssj.v15i2.2657" TargetMode="External"/><Relationship Id="rId28" Type="http://schemas.openxmlformats.org/officeDocument/2006/relationships/hyperlink" Target="http://dx.doi.org/10.1201/b12500"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oi.org/10.3390/agriculture10090394" TargetMode="External"/><Relationship Id="rId31" Type="http://schemas.openxmlformats.org/officeDocument/2006/relationships/hyperlink" Target="https://doi.org/10.1016/j.anifeedsci.2011.04.03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07/978-3-031-18923-4_6" TargetMode="External"/><Relationship Id="rId22" Type="http://schemas.openxmlformats.org/officeDocument/2006/relationships/hyperlink" Target="https://techresearchonline.com/blog/10-new-ways-to-communicate-digitally-age-of-digital-technology/" TargetMode="External"/><Relationship Id="rId27" Type="http://schemas.openxmlformats.org/officeDocument/2006/relationships/hyperlink" Target="https://web.mit.edu/jrankin/www/interdisciplinary/interdisc_Newell.pdf" TargetMode="External"/><Relationship Id="rId30" Type="http://schemas.openxmlformats.org/officeDocument/2006/relationships/hyperlink" Target="https://doi.org/10.2489/jswc.2020.0620A"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f3e1975b18eaa64cfb6f870ac5455ac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73c01ceadbeeca6b46aa7addb9956798"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5CC1C9-4CA6-46E3-989B-F25CE603C456}">
  <ds:schemaRefs>
    <ds:schemaRef ds:uri="http://schemas.microsoft.com/office/2006/metadata/properties"/>
    <ds:schemaRef ds:uri="http://schemas.microsoft.com/office/infopath/2007/PartnerControls"/>
    <ds:schemaRef ds:uri="49b9c972-6c78-424e-8500-a22f256d764b"/>
    <ds:schemaRef ds:uri="664392dc-dad9-45cc-9b02-6ff2a8be1f79"/>
  </ds:schemaRefs>
</ds:datastoreItem>
</file>

<file path=customXml/itemProps2.xml><?xml version="1.0" encoding="utf-8"?>
<ds:datastoreItem xmlns:ds="http://schemas.openxmlformats.org/officeDocument/2006/customXml" ds:itemID="{8D006ECF-7358-455B-B0C3-B42400B7BD49}"/>
</file>

<file path=customXml/itemProps3.xml><?xml version="1.0" encoding="utf-8"?>
<ds:datastoreItem xmlns:ds="http://schemas.openxmlformats.org/officeDocument/2006/customXml" ds:itemID="{98C78329-37B3-4325-A18E-19616F79389A}">
  <ds:schemaRefs>
    <ds:schemaRef ds:uri="http://schemas.openxmlformats.org/officeDocument/2006/bibliography"/>
  </ds:schemaRefs>
</ds:datastoreItem>
</file>

<file path=customXml/itemProps4.xml><?xml version="1.0" encoding="utf-8"?>
<ds:datastoreItem xmlns:ds="http://schemas.openxmlformats.org/officeDocument/2006/customXml" ds:itemID="{1BF969EB-EA69-467B-AFCE-2832D0B145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8083</Words>
  <Characters>46075</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Santolalla</dc:creator>
  <cp:lastModifiedBy>Ioanna Mantopoulou</cp:lastModifiedBy>
  <cp:revision>5</cp:revision>
  <dcterms:created xsi:type="dcterms:W3CDTF">2025-03-24T12:06:00Z</dcterms:created>
  <dcterms:modified xsi:type="dcterms:W3CDTF">2025-04-04T08:55:00Z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y fmtid="{D5CDD505-2E9C-101B-9397-08002B2CF9AE}" pid="3" name="MediaServiceImageTags">
    <vt:lpwstr/>
  </property>
</Properties>
</file>