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CC2F5" w14:textId="77777777" w:rsidR="00AD6E49" w:rsidRPr="00484F81" w:rsidRDefault="00AD6E49" w:rsidP="00AD6E49">
      <w:pPr>
        <w:spacing w:after="0" w:line="520" w:lineRule="exact"/>
        <w:jc w:val="center"/>
        <w:rPr>
          <w:rFonts w:ascii="Times New Roman" w:eastAsiaTheme="minorEastAsia" w:hAnsi="Times New Roman" w:cs="Times New Roman"/>
          <w:b/>
          <w:bCs/>
          <w:color w:val="00FFCC"/>
          <w:kern w:val="24"/>
          <w:position w:val="1"/>
          <w:sz w:val="56"/>
          <w:szCs w:val="56"/>
          <w:lang w:val="en-GB" w:eastAsia="pl-PL"/>
        </w:rPr>
      </w:pPr>
    </w:p>
    <w:p w14:paraId="7AA019FA" w14:textId="77777777" w:rsidR="00040F5F" w:rsidRPr="00484F81" w:rsidRDefault="00040F5F" w:rsidP="00040F5F">
      <w:pPr>
        <w:spacing w:after="0" w:line="520" w:lineRule="exact"/>
        <w:jc w:val="center"/>
        <w:rPr>
          <w:rFonts w:ascii="Times New Roman" w:eastAsiaTheme="minorEastAsia" w:hAnsi="Times New Roman" w:cs="Times New Roman"/>
          <w:b/>
          <w:bCs/>
          <w:color w:val="8DD873" w:themeColor="accent6" w:themeTint="99"/>
          <w:kern w:val="24"/>
          <w:position w:val="1"/>
          <w:sz w:val="56"/>
          <w:szCs w:val="56"/>
          <w:lang w:val="en-GB" w:eastAsia="pl-PL"/>
        </w:rPr>
      </w:pPr>
    </w:p>
    <w:p w14:paraId="6B117817" w14:textId="77777777" w:rsidR="00AD6E49" w:rsidRPr="00484F81" w:rsidRDefault="00AD6E49" w:rsidP="00040F5F">
      <w:pPr>
        <w:spacing w:after="0" w:line="520" w:lineRule="exact"/>
        <w:jc w:val="center"/>
        <w:rPr>
          <w:rFonts w:ascii="Times New Roman" w:eastAsiaTheme="minorEastAsia" w:hAnsi="Times New Roman" w:cs="Times New Roman"/>
          <w:b/>
          <w:bCs/>
          <w:color w:val="8DD873" w:themeColor="accent6" w:themeTint="99"/>
          <w:kern w:val="24"/>
          <w:position w:val="1"/>
          <w:sz w:val="56"/>
          <w:szCs w:val="56"/>
          <w:lang w:val="en-GB" w:eastAsia="pl-PL"/>
        </w:rPr>
      </w:pPr>
      <w:r w:rsidRPr="00484F81">
        <w:rPr>
          <w:rFonts w:ascii="Times New Roman" w:eastAsiaTheme="minorEastAsia" w:hAnsi="Times New Roman" w:cs="Times New Roman"/>
          <w:b/>
          <w:bCs/>
          <w:color w:val="8DD873" w:themeColor="accent6" w:themeTint="99"/>
          <w:kern w:val="24"/>
          <w:position w:val="1"/>
          <w:sz w:val="56"/>
          <w:szCs w:val="56"/>
          <w:lang w:val="tr" w:eastAsia="pl-PL"/>
        </w:rPr>
        <w:t>Terimler sözlüğü</w:t>
      </w:r>
    </w:p>
    <w:p w14:paraId="1838F654" w14:textId="77777777" w:rsidR="00040F5F" w:rsidRPr="00484F81" w:rsidRDefault="00040F5F" w:rsidP="00040F5F">
      <w:pPr>
        <w:spacing w:after="0" w:line="520" w:lineRule="exact"/>
        <w:jc w:val="center"/>
        <w:rPr>
          <w:rFonts w:ascii="Times New Roman" w:eastAsia="Times New Roman" w:hAnsi="Times New Roman" w:cs="Times New Roman"/>
          <w:color w:val="8DD873" w:themeColor="accent6" w:themeTint="99"/>
          <w:sz w:val="24"/>
          <w:szCs w:val="24"/>
          <w:lang w:val="en-GB" w:eastAsia="pl-PL"/>
        </w:rPr>
      </w:pPr>
    </w:p>
    <w:tbl>
      <w:tblPr>
        <w:tblStyle w:val="TableGrid"/>
        <w:tblW w:w="976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24"/>
        <w:gridCol w:w="1407"/>
        <w:gridCol w:w="5615"/>
        <w:gridCol w:w="616"/>
      </w:tblGrid>
      <w:tr w:rsidR="002A67F8" w:rsidRPr="00484F81" w14:paraId="54E40605" w14:textId="77777777" w:rsidTr="2C6C7817">
        <w:tc>
          <w:tcPr>
            <w:tcW w:w="2062" w:type="dxa"/>
          </w:tcPr>
          <w:p w14:paraId="5C4EC49D" w14:textId="77777777" w:rsidR="002A67F8" w:rsidRPr="00484F81" w:rsidRDefault="002A67F8" w:rsidP="002A67F8">
            <w:pPr>
              <w:jc w:val="center"/>
              <w:rPr>
                <w:rFonts w:ascii="Times New Roman" w:hAnsi="Times New Roman" w:cs="Times New Roman"/>
                <w:b/>
                <w:color w:val="3A7C22" w:themeColor="accent6" w:themeShade="BF"/>
                <w:lang w:val="en-GB"/>
              </w:rPr>
            </w:pPr>
          </w:p>
        </w:tc>
        <w:tc>
          <w:tcPr>
            <w:tcW w:w="1469" w:type="dxa"/>
          </w:tcPr>
          <w:p w14:paraId="54D99B8B" w14:textId="77777777" w:rsidR="002A67F8" w:rsidRPr="00484F81" w:rsidRDefault="002A67F8" w:rsidP="002A67F8">
            <w:pPr>
              <w:jc w:val="center"/>
              <w:rPr>
                <w:rFonts w:ascii="Times New Roman" w:hAnsi="Times New Roman" w:cs="Times New Roman"/>
                <w:lang w:val="en-GB"/>
              </w:rPr>
            </w:pPr>
          </w:p>
        </w:tc>
        <w:tc>
          <w:tcPr>
            <w:tcW w:w="5615" w:type="dxa"/>
          </w:tcPr>
          <w:p w14:paraId="3B30FB8A" w14:textId="77777777" w:rsidR="002A67F8" w:rsidRPr="00484F81" w:rsidRDefault="002A67F8" w:rsidP="002A67F8">
            <w:pPr>
              <w:jc w:val="center"/>
              <w:rPr>
                <w:rFonts w:ascii="Times New Roman" w:hAnsi="Times New Roman" w:cs="Times New Roman"/>
                <w:lang w:val="en-GB"/>
              </w:rPr>
            </w:pPr>
          </w:p>
        </w:tc>
        <w:tc>
          <w:tcPr>
            <w:tcW w:w="616" w:type="dxa"/>
          </w:tcPr>
          <w:p w14:paraId="612EA104" w14:textId="77777777" w:rsidR="002A67F8" w:rsidRPr="00484F81" w:rsidRDefault="002A67F8" w:rsidP="002A67F8">
            <w:pPr>
              <w:jc w:val="center"/>
              <w:rPr>
                <w:rFonts w:ascii="Times New Roman" w:hAnsi="Times New Roman" w:cs="Times New Roman"/>
                <w:lang w:val="en-GB"/>
              </w:rPr>
            </w:pPr>
          </w:p>
        </w:tc>
      </w:tr>
      <w:tr w:rsidR="003F670C" w:rsidRPr="00484F81" w14:paraId="4E3DBC37" w14:textId="77777777" w:rsidTr="2C6C7817">
        <w:tc>
          <w:tcPr>
            <w:tcW w:w="2062" w:type="dxa"/>
          </w:tcPr>
          <w:p w14:paraId="2423389B" w14:textId="77777777" w:rsidR="003F670C" w:rsidRPr="00484F81" w:rsidRDefault="003F670C" w:rsidP="4F734429">
            <w:pPr>
              <w:rPr>
                <w:rFonts w:ascii="Times New Roman" w:hAnsi="Times New Roman" w:cs="Times New Roman"/>
                <w:b/>
                <w:bCs/>
                <w:color w:val="3A7C22" w:themeColor="accent6" w:themeShade="BF"/>
                <w:lang w:val="en-GB"/>
              </w:rPr>
            </w:pPr>
            <w:r w:rsidRPr="00484F81">
              <w:rPr>
                <w:rFonts w:ascii="Times New Roman" w:hAnsi="Times New Roman" w:cs="Times New Roman"/>
                <w:b/>
                <w:bCs/>
                <w:color w:val="3A7C22" w:themeColor="accent6" w:themeShade="BF"/>
                <w:lang w:val="tr"/>
              </w:rPr>
              <w:t>Adsorpsiyon</w:t>
            </w:r>
          </w:p>
        </w:tc>
        <w:tc>
          <w:tcPr>
            <w:tcW w:w="1469" w:type="dxa"/>
          </w:tcPr>
          <w:p w14:paraId="763F5BCF" w14:textId="77777777" w:rsidR="003F670C" w:rsidRPr="00484F81" w:rsidRDefault="003F670C" w:rsidP="002A67F8">
            <w:pPr>
              <w:jc w:val="both"/>
              <w:rPr>
                <w:rFonts w:ascii="Times New Roman" w:hAnsi="Times New Roman" w:cs="Times New Roman"/>
                <w:lang w:val="en-GB"/>
              </w:rPr>
            </w:pPr>
          </w:p>
        </w:tc>
        <w:tc>
          <w:tcPr>
            <w:tcW w:w="5615" w:type="dxa"/>
          </w:tcPr>
          <w:p w14:paraId="77B21BAB" w14:textId="77777777" w:rsidR="003F670C" w:rsidRPr="00484F81" w:rsidRDefault="003F670C" w:rsidP="002A67F8">
            <w:pPr>
              <w:jc w:val="both"/>
              <w:rPr>
                <w:rFonts w:ascii="Times New Roman" w:hAnsi="Times New Roman" w:cs="Times New Roman"/>
                <w:lang w:val="en-GB"/>
              </w:rPr>
            </w:pPr>
            <w:r w:rsidRPr="00484F81">
              <w:rPr>
                <w:rFonts w:ascii="Times New Roman" w:hAnsi="Times New Roman" w:cs="Times New Roman"/>
                <w:lang w:val="tr"/>
              </w:rPr>
              <w:t>Atomların, moleküllerin veya iyonların kimyasal veya fiziksel bağlanma yoluyla katıların yüzeylerinde tutulduğu süreci ifade eder. Absorpsiyon, buharların, gazların ve ayrışmamış moleküllerin emilmesiyle ilgilidir.</w:t>
            </w:r>
          </w:p>
        </w:tc>
        <w:tc>
          <w:tcPr>
            <w:tcW w:w="616" w:type="dxa"/>
          </w:tcPr>
          <w:p w14:paraId="06DC588D"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3</w:t>
            </w:r>
          </w:p>
        </w:tc>
      </w:tr>
      <w:tr w:rsidR="003F670C" w:rsidRPr="00484F81" w14:paraId="0BAE6B62" w14:textId="77777777" w:rsidTr="2C6C7817">
        <w:tc>
          <w:tcPr>
            <w:tcW w:w="2062" w:type="dxa"/>
          </w:tcPr>
          <w:p w14:paraId="316A5D27"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Antropojenik</w:t>
            </w:r>
          </w:p>
        </w:tc>
        <w:tc>
          <w:tcPr>
            <w:tcW w:w="1469" w:type="dxa"/>
          </w:tcPr>
          <w:p w14:paraId="58846C78" w14:textId="77777777" w:rsidR="003F670C" w:rsidRPr="00484F81" w:rsidRDefault="003F670C" w:rsidP="002A67F8">
            <w:pPr>
              <w:jc w:val="both"/>
              <w:rPr>
                <w:rFonts w:ascii="Times New Roman" w:hAnsi="Times New Roman" w:cs="Times New Roman"/>
                <w:lang w:val="en-GB"/>
              </w:rPr>
            </w:pPr>
          </w:p>
        </w:tc>
        <w:tc>
          <w:tcPr>
            <w:tcW w:w="5615" w:type="dxa"/>
          </w:tcPr>
          <w:p w14:paraId="6B42267C" w14:textId="77777777" w:rsidR="003F670C" w:rsidRPr="00484F81" w:rsidRDefault="003F670C" w:rsidP="002A67F8">
            <w:pPr>
              <w:jc w:val="both"/>
              <w:rPr>
                <w:rFonts w:ascii="Times New Roman" w:hAnsi="Times New Roman" w:cs="Times New Roman"/>
                <w:lang w:val="tr"/>
              </w:rPr>
            </w:pPr>
            <w:r w:rsidRPr="00484F81">
              <w:rPr>
                <w:rFonts w:ascii="Times New Roman" w:hAnsi="Times New Roman" w:cs="Times New Roman"/>
                <w:lang w:val="tr"/>
              </w:rPr>
              <w:t>İnsanların oluşturduğu şeyleri ifade eder. Toprak özelinde insan faaliyetleriyle oluşturulan koşulları, rahatsızlıkları veya stresleri belirtmek için kullanılır.</w:t>
            </w:r>
          </w:p>
        </w:tc>
        <w:tc>
          <w:tcPr>
            <w:tcW w:w="616" w:type="dxa"/>
          </w:tcPr>
          <w:p w14:paraId="63CB5CA7"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1,</w:t>
            </w:r>
          </w:p>
        </w:tc>
      </w:tr>
      <w:tr w:rsidR="003F670C" w:rsidRPr="00484F81" w14:paraId="34D7EED0" w14:textId="77777777" w:rsidTr="2C6C7817">
        <w:tc>
          <w:tcPr>
            <w:tcW w:w="2062" w:type="dxa"/>
          </w:tcPr>
          <w:p w14:paraId="3D5A339E" w14:textId="77777777" w:rsidR="003F670C" w:rsidRPr="00484F81" w:rsidRDefault="003F670C" w:rsidP="00A655ED">
            <w:pPr>
              <w:rPr>
                <w:rFonts w:ascii="Times New Roman" w:hAnsi="Times New Roman" w:cs="Times New Roman"/>
                <w:b/>
                <w:color w:val="BF4E14" w:themeColor="accent2" w:themeShade="BF"/>
                <w:lang w:val="en-GB"/>
              </w:rPr>
            </w:pPr>
            <w:r w:rsidRPr="00484F81">
              <w:rPr>
                <w:rFonts w:ascii="Times New Roman" w:hAnsi="Times New Roman" w:cs="Times New Roman"/>
                <w:b/>
                <w:color w:val="3A7C22" w:themeColor="accent6" w:themeShade="BF"/>
                <w:lang w:val="tr"/>
              </w:rPr>
              <w:t>Arazi gaspı</w:t>
            </w:r>
          </w:p>
        </w:tc>
        <w:tc>
          <w:tcPr>
            <w:tcW w:w="1469" w:type="dxa"/>
          </w:tcPr>
          <w:p w14:paraId="487B03E6" w14:textId="77777777" w:rsidR="003F670C" w:rsidRPr="00484F81" w:rsidRDefault="003F670C" w:rsidP="00A655ED">
            <w:pPr>
              <w:jc w:val="both"/>
              <w:rPr>
                <w:rFonts w:ascii="Times New Roman" w:hAnsi="Times New Roman" w:cs="Times New Roman"/>
                <w:lang w:val="en-GB"/>
              </w:rPr>
            </w:pPr>
          </w:p>
        </w:tc>
        <w:tc>
          <w:tcPr>
            <w:tcW w:w="5615" w:type="dxa"/>
          </w:tcPr>
          <w:p w14:paraId="32515DAE" w14:textId="77777777" w:rsidR="003F670C" w:rsidRPr="00484F81" w:rsidRDefault="003F670C" w:rsidP="00A655ED">
            <w:pPr>
              <w:jc w:val="both"/>
              <w:rPr>
                <w:rFonts w:ascii="Times New Roman" w:hAnsi="Times New Roman" w:cs="Times New Roman"/>
                <w:lang w:val="en-GB"/>
              </w:rPr>
            </w:pPr>
            <w:r w:rsidRPr="00484F81">
              <w:rPr>
                <w:rFonts w:ascii="Times New Roman" w:hAnsi="Times New Roman" w:cs="Times New Roman"/>
                <w:lang w:val="tr"/>
              </w:rPr>
              <w:t>Arazi gaspı, yerel arazilerin yerel çiftçiler, agroekoloji, arazi yönetimi, gıda egemenliği ve insan haklarının aleyhine olacak şekilde spekülasyon, madencilik, kaynak kontrolü veya metalaştırma gibi amaçlarla, mülkiyet, kiralama, imtiyaz, sözleşme, kota veya genel güç kullanımı yoluyla kamu veya özel, yabancı veya yerli, herhangi bir kişi veya kuruluş tarafından 'yasal' veya 'yasadışı' yollarla kontrol altına alınmasını ifade eder.</w:t>
            </w:r>
          </w:p>
        </w:tc>
        <w:tc>
          <w:tcPr>
            <w:tcW w:w="616" w:type="dxa"/>
          </w:tcPr>
          <w:p w14:paraId="7683AEDB" w14:textId="77777777" w:rsidR="003F670C" w:rsidRPr="00484F81" w:rsidRDefault="003F670C" w:rsidP="00A655ED">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11</w:t>
            </w:r>
          </w:p>
        </w:tc>
      </w:tr>
      <w:tr w:rsidR="003F670C" w:rsidRPr="00484F81" w14:paraId="18D7DF4C" w14:textId="77777777" w:rsidTr="2C6C7817">
        <w:tc>
          <w:tcPr>
            <w:tcW w:w="2062" w:type="dxa"/>
          </w:tcPr>
          <w:p w14:paraId="5AF160BA"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Arazi sağlığı</w:t>
            </w:r>
          </w:p>
        </w:tc>
        <w:tc>
          <w:tcPr>
            <w:tcW w:w="1469" w:type="dxa"/>
          </w:tcPr>
          <w:p w14:paraId="79189E20" w14:textId="77777777" w:rsidR="003F670C" w:rsidRPr="00484F81" w:rsidRDefault="003F670C" w:rsidP="00525540">
            <w:pPr>
              <w:jc w:val="both"/>
              <w:rPr>
                <w:rFonts w:ascii="Times New Roman" w:hAnsi="Times New Roman" w:cs="Times New Roman"/>
                <w:lang w:val="en-GB"/>
              </w:rPr>
            </w:pPr>
          </w:p>
        </w:tc>
        <w:tc>
          <w:tcPr>
            <w:tcW w:w="5615" w:type="dxa"/>
          </w:tcPr>
          <w:p w14:paraId="40773AAB" w14:textId="77777777" w:rsidR="003F670C" w:rsidRPr="00484F81" w:rsidRDefault="003F670C" w:rsidP="00525540">
            <w:pPr>
              <w:jc w:val="both"/>
              <w:rPr>
                <w:rFonts w:ascii="Times New Roman" w:hAnsi="Times New Roman" w:cs="Times New Roman"/>
                <w:lang w:val="en-GB"/>
              </w:rPr>
            </w:pPr>
            <w:r w:rsidRPr="00484F81">
              <w:rPr>
                <w:rFonts w:ascii="Times New Roman" w:hAnsi="Times New Roman" w:cs="Times New Roman"/>
                <w:lang w:val="tr"/>
              </w:rPr>
              <w:t>Arazinin, potansiyeline göre ekosistem hizmetlerini sunmayı sürdürebilme kapasitesini ifade eder.</w:t>
            </w:r>
          </w:p>
        </w:tc>
        <w:tc>
          <w:tcPr>
            <w:tcW w:w="616" w:type="dxa"/>
          </w:tcPr>
          <w:p w14:paraId="39129481"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1</w:t>
            </w:r>
          </w:p>
        </w:tc>
      </w:tr>
      <w:tr w:rsidR="003F670C" w:rsidRPr="00484F81" w14:paraId="5E6624E0" w14:textId="77777777" w:rsidTr="2C6C7817">
        <w:tc>
          <w:tcPr>
            <w:tcW w:w="2062" w:type="dxa"/>
          </w:tcPr>
          <w:p w14:paraId="2C9E368F" w14:textId="77777777" w:rsidR="003F670C" w:rsidRPr="00484F81" w:rsidRDefault="003F670C" w:rsidP="4F734429">
            <w:pPr>
              <w:rPr>
                <w:rFonts w:ascii="Times New Roman" w:hAnsi="Times New Roman" w:cs="Times New Roman"/>
                <w:b/>
                <w:bCs/>
                <w:color w:val="3A7C22" w:themeColor="accent6" w:themeShade="BF"/>
                <w:lang w:val="en-GB"/>
              </w:rPr>
            </w:pPr>
            <w:r w:rsidRPr="00484F81">
              <w:rPr>
                <w:rFonts w:ascii="Times New Roman" w:hAnsi="Times New Roman" w:cs="Times New Roman"/>
                <w:b/>
                <w:bCs/>
                <w:color w:val="3A7C22" w:themeColor="accent6" w:themeShade="BF"/>
                <w:lang w:val="tr"/>
              </w:rPr>
              <w:t>Asidifikasyon</w:t>
            </w:r>
          </w:p>
        </w:tc>
        <w:tc>
          <w:tcPr>
            <w:tcW w:w="1469" w:type="dxa"/>
          </w:tcPr>
          <w:p w14:paraId="4C9FDE85" w14:textId="77777777" w:rsidR="003F670C" w:rsidRPr="00484F81" w:rsidRDefault="003F670C" w:rsidP="002A67F8">
            <w:pPr>
              <w:jc w:val="both"/>
              <w:rPr>
                <w:rFonts w:ascii="Times New Roman" w:hAnsi="Times New Roman" w:cs="Times New Roman"/>
                <w:lang w:val="en-GB"/>
              </w:rPr>
            </w:pPr>
          </w:p>
        </w:tc>
        <w:tc>
          <w:tcPr>
            <w:tcW w:w="5615" w:type="dxa"/>
          </w:tcPr>
          <w:p w14:paraId="2C28749A" w14:textId="77777777" w:rsidR="003F670C" w:rsidRPr="00484F81" w:rsidRDefault="003F670C" w:rsidP="002A67F8">
            <w:pPr>
              <w:jc w:val="both"/>
              <w:rPr>
                <w:rFonts w:ascii="Times New Roman" w:hAnsi="Times New Roman" w:cs="Times New Roman"/>
                <w:lang w:val="tr"/>
              </w:rPr>
            </w:pPr>
            <w:bookmarkStart w:id="0" w:name="_Hlk187700470"/>
            <w:r w:rsidRPr="00484F81">
              <w:rPr>
                <w:rFonts w:ascii="Times New Roman" w:hAnsi="Times New Roman" w:cs="Times New Roman"/>
                <w:lang w:val="tr"/>
              </w:rPr>
              <w:t>Hafif alkali iyonların ürünle birlikte topraktan alınması, sızıntı ve asitleştirici azotlu (N) gübre türlerinin uygulanması sonucunda topraktaki hidrojen iyonlarının yoğunluğunun kademeli olarak arttığı süreci ifade eder. Bu süreç, ana materyal de dahil olmak üzere doğal toprak bileşenleriyle hızlandırılır veya yeterince telafi edilemez.</w:t>
            </w:r>
            <w:bookmarkEnd w:id="0"/>
          </w:p>
        </w:tc>
        <w:tc>
          <w:tcPr>
            <w:tcW w:w="616" w:type="dxa"/>
          </w:tcPr>
          <w:p w14:paraId="270DFB15"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3</w:t>
            </w:r>
          </w:p>
        </w:tc>
      </w:tr>
      <w:tr w:rsidR="003F670C" w:rsidRPr="00484F81" w14:paraId="2683A613" w14:textId="77777777" w:rsidTr="2C6C7817">
        <w:tc>
          <w:tcPr>
            <w:tcW w:w="2062" w:type="dxa"/>
          </w:tcPr>
          <w:p w14:paraId="0FA193D3" w14:textId="77777777" w:rsidR="003F670C" w:rsidRPr="00484F81" w:rsidRDefault="003F670C" w:rsidP="00A655ED">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Bakım</w:t>
            </w:r>
          </w:p>
        </w:tc>
        <w:tc>
          <w:tcPr>
            <w:tcW w:w="1469" w:type="dxa"/>
          </w:tcPr>
          <w:p w14:paraId="44B0AF16" w14:textId="77777777" w:rsidR="003F670C" w:rsidRPr="00484F81" w:rsidRDefault="003F670C" w:rsidP="00A655ED">
            <w:pPr>
              <w:jc w:val="both"/>
              <w:rPr>
                <w:rFonts w:ascii="Times New Roman" w:hAnsi="Times New Roman" w:cs="Times New Roman"/>
                <w:lang w:val="en-GB"/>
              </w:rPr>
            </w:pPr>
          </w:p>
        </w:tc>
        <w:tc>
          <w:tcPr>
            <w:tcW w:w="5615" w:type="dxa"/>
          </w:tcPr>
          <w:p w14:paraId="4939C9FD"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lang w:val="tr"/>
              </w:rPr>
              <w:t>Bir kişinin veya bir şeyin sağlığı, esenliği, bakımı ve korunması için gerekli olan şeylerin sağlanmasını ifade eder. Bu tanım, esenliği ve desteği artırmayı amaçlayan çok çeşitli faaliyet ve tutumları kapsar. Bakım, bireylerin ihtiyaçlarını desteklemeyi ve yaşam kalitelerini artırmaya yönelik destek sağlamayı amaçlayan faaliyetler olarak değerlendirilmektedir.</w:t>
            </w:r>
          </w:p>
        </w:tc>
        <w:tc>
          <w:tcPr>
            <w:tcW w:w="616" w:type="dxa"/>
          </w:tcPr>
          <w:p w14:paraId="4906D76F" w14:textId="77777777" w:rsidR="003F670C" w:rsidRPr="00484F81" w:rsidRDefault="003F670C" w:rsidP="00A655ED">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28, 29</w:t>
            </w:r>
          </w:p>
        </w:tc>
      </w:tr>
      <w:tr w:rsidR="003F670C" w:rsidRPr="00484F81" w14:paraId="583BC145" w14:textId="77777777" w:rsidTr="2C6C7817">
        <w:tc>
          <w:tcPr>
            <w:tcW w:w="2062" w:type="dxa"/>
          </w:tcPr>
          <w:p w14:paraId="2386FE32"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Baz doygunluğu</w:t>
            </w:r>
          </w:p>
        </w:tc>
        <w:tc>
          <w:tcPr>
            <w:tcW w:w="1469" w:type="dxa"/>
          </w:tcPr>
          <w:p w14:paraId="0CD28F19" w14:textId="77777777" w:rsidR="003F670C" w:rsidRPr="00484F81" w:rsidRDefault="003F670C" w:rsidP="002A67F8">
            <w:pPr>
              <w:tabs>
                <w:tab w:val="left" w:pos="262"/>
              </w:tabs>
              <w:jc w:val="both"/>
              <w:rPr>
                <w:rFonts w:ascii="Times New Roman" w:hAnsi="Times New Roman" w:cs="Times New Roman"/>
                <w:lang w:val="en-GB"/>
              </w:rPr>
            </w:pPr>
          </w:p>
        </w:tc>
        <w:tc>
          <w:tcPr>
            <w:tcW w:w="5615" w:type="dxa"/>
          </w:tcPr>
          <w:p w14:paraId="04C857C6" w14:textId="77777777" w:rsidR="003F670C" w:rsidRPr="00484F81" w:rsidRDefault="003F670C" w:rsidP="002A67F8">
            <w:pPr>
              <w:tabs>
                <w:tab w:val="left" w:pos="262"/>
              </w:tabs>
              <w:jc w:val="both"/>
              <w:rPr>
                <w:rFonts w:ascii="Times New Roman" w:hAnsi="Times New Roman" w:cs="Times New Roman"/>
                <w:lang w:val="en-GB"/>
              </w:rPr>
            </w:pPr>
            <w:r w:rsidRPr="00484F81">
              <w:rPr>
                <w:rFonts w:ascii="Times New Roman" w:hAnsi="Times New Roman" w:cs="Times New Roman"/>
                <w:lang w:val="tr"/>
              </w:rPr>
              <w:t>Katyon değiştirme özelliğine sahip bir toprağın değiştirilebilir bazlarla (Ca, Mg, Na, K toplamı) doygun hale gelme derecesi olup toplam katyon değiştirme kapasitesinin yüzdesi şeklinde ifade edilir.</w:t>
            </w:r>
          </w:p>
        </w:tc>
        <w:tc>
          <w:tcPr>
            <w:tcW w:w="616" w:type="dxa"/>
          </w:tcPr>
          <w:p w14:paraId="14DC086C"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3</w:t>
            </w:r>
          </w:p>
        </w:tc>
      </w:tr>
      <w:tr w:rsidR="003F670C" w:rsidRPr="00484F81" w14:paraId="22B5208F" w14:textId="77777777" w:rsidTr="2C6C7817">
        <w:tc>
          <w:tcPr>
            <w:tcW w:w="2062" w:type="dxa"/>
          </w:tcPr>
          <w:p w14:paraId="07724A16"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Bilgi ve Eğitim Aktörleri</w:t>
            </w:r>
          </w:p>
        </w:tc>
        <w:tc>
          <w:tcPr>
            <w:tcW w:w="1469" w:type="dxa"/>
          </w:tcPr>
          <w:p w14:paraId="4690F58C" w14:textId="77777777" w:rsidR="003F670C" w:rsidRPr="00484F81" w:rsidRDefault="003F670C" w:rsidP="00525540">
            <w:pPr>
              <w:jc w:val="both"/>
              <w:rPr>
                <w:rFonts w:ascii="Times New Roman" w:hAnsi="Times New Roman" w:cs="Times New Roman"/>
                <w:lang w:val="en-GB"/>
              </w:rPr>
            </w:pPr>
          </w:p>
        </w:tc>
        <w:tc>
          <w:tcPr>
            <w:tcW w:w="5615" w:type="dxa"/>
          </w:tcPr>
          <w:p w14:paraId="4228E79B" w14:textId="77777777" w:rsidR="003F670C" w:rsidRPr="00484F81" w:rsidRDefault="003F670C" w:rsidP="00525540">
            <w:pPr>
              <w:jc w:val="both"/>
              <w:rPr>
                <w:rFonts w:ascii="Times New Roman" w:hAnsi="Times New Roman" w:cs="Times New Roman"/>
                <w:lang w:val="en-GB"/>
              </w:rPr>
            </w:pPr>
            <w:r w:rsidRPr="00484F81">
              <w:rPr>
                <w:rFonts w:ascii="Times New Roman" w:hAnsi="Times New Roman" w:cs="Times New Roman"/>
                <w:lang w:val="tr"/>
              </w:rPr>
              <w:t>Bu grup, araştırma, eğitim ve sosyal yardım yoluyla toprak sağlığı, sürdürülebilir arazi kullanımı ve toprak koruma uygulamaları da dahil olmak üzere toprak yönetimi konularında yeni bilgi ve anlayış üretmeyi amaçlayan toprak bilimi, tarım, ormancılık veya çevre çalışmaları odaklı akademik ve araştırma kurumlarından oluşur.</w:t>
            </w:r>
          </w:p>
          <w:p w14:paraId="364A06CB" w14:textId="77777777" w:rsidR="003F670C" w:rsidRPr="00484F81" w:rsidRDefault="003F670C" w:rsidP="00525540">
            <w:pPr>
              <w:jc w:val="both"/>
              <w:rPr>
                <w:rFonts w:ascii="Times New Roman" w:hAnsi="Times New Roman" w:cs="Times New Roman"/>
                <w:lang w:val="en-GB"/>
              </w:rPr>
            </w:pPr>
            <w:r w:rsidRPr="00484F81">
              <w:rPr>
                <w:rFonts w:ascii="Times New Roman" w:hAnsi="Times New Roman" w:cs="Times New Roman"/>
                <w:lang w:val="tr"/>
              </w:rPr>
              <w:t>Bu grup örneğin üniversiteler, araştırma kuruluşları, orta öğretim kurumları, sivil toplum kuruluşları gibi kurumlardan bilim insanlarını, akademisyenleri, araştırmacıları ve öğrencileri içerebilir.</w:t>
            </w:r>
          </w:p>
        </w:tc>
        <w:tc>
          <w:tcPr>
            <w:tcW w:w="616" w:type="dxa"/>
          </w:tcPr>
          <w:p w14:paraId="50F35949"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2</w:t>
            </w:r>
          </w:p>
        </w:tc>
      </w:tr>
      <w:tr w:rsidR="003F670C" w:rsidRPr="00484F81" w14:paraId="4976AC9C" w14:textId="77777777" w:rsidTr="2C6C7817">
        <w:tc>
          <w:tcPr>
            <w:tcW w:w="2062" w:type="dxa"/>
          </w:tcPr>
          <w:p w14:paraId="19AEDC07"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lastRenderedPageBreak/>
              <w:t>Bitkinin kullanabileceği su miktarı</w:t>
            </w:r>
          </w:p>
        </w:tc>
        <w:tc>
          <w:tcPr>
            <w:tcW w:w="1469" w:type="dxa"/>
          </w:tcPr>
          <w:p w14:paraId="643BB65B" w14:textId="77777777" w:rsidR="003F670C" w:rsidRPr="00484F81" w:rsidRDefault="003F670C" w:rsidP="00525540">
            <w:pPr>
              <w:jc w:val="both"/>
              <w:rPr>
                <w:rFonts w:ascii="Times New Roman" w:hAnsi="Times New Roman" w:cs="Times New Roman"/>
                <w:lang w:val="en-GB"/>
              </w:rPr>
            </w:pPr>
          </w:p>
        </w:tc>
        <w:tc>
          <w:tcPr>
            <w:tcW w:w="5615" w:type="dxa"/>
          </w:tcPr>
          <w:p w14:paraId="61CFBBA4" w14:textId="77777777" w:rsidR="003F670C" w:rsidRPr="00484F81" w:rsidRDefault="003F670C" w:rsidP="00525540">
            <w:pPr>
              <w:jc w:val="both"/>
              <w:rPr>
                <w:rFonts w:ascii="Times New Roman" w:hAnsi="Times New Roman" w:cs="Times New Roman"/>
                <w:lang w:val="tr"/>
              </w:rPr>
            </w:pPr>
            <w:r w:rsidRPr="00484F81">
              <w:rPr>
                <w:rFonts w:ascii="Times New Roman" w:hAnsi="Times New Roman" w:cs="Times New Roman"/>
                <w:lang w:val="tr"/>
              </w:rPr>
              <w:t xml:space="preserve">Kök bölgesinde evapotranspirasyon için mevcut olan toplam su miktarını ifade eder. Tarla kapasitesi ile kalıcı solma noktası durumları arasında toprakta tutulan sudur. Genellikle mm cinsinden ifade edilir. Bitkinin kullanabileceği su miktarı ne kadar artarsa toprağın verimliliği ve biyolojik aktivitesi de o kadar artar. </w:t>
            </w:r>
          </w:p>
          <w:p w14:paraId="795E62B5" w14:textId="77777777" w:rsidR="003F670C" w:rsidRPr="00484F81" w:rsidRDefault="003F670C" w:rsidP="00525540">
            <w:pPr>
              <w:jc w:val="both"/>
              <w:rPr>
                <w:rFonts w:ascii="Times New Roman" w:hAnsi="Times New Roman" w:cs="Times New Roman"/>
                <w:lang w:val="tr"/>
              </w:rPr>
            </w:pPr>
            <w:r w:rsidRPr="00484F81">
              <w:rPr>
                <w:rFonts w:ascii="Times New Roman" w:hAnsi="Times New Roman" w:cs="Times New Roman"/>
                <w:lang w:val="tr"/>
              </w:rPr>
              <w:t>Toprak tane büyüklüğünün bitkinin kullanabileceği su kapasitesine olan etkisinin grafiksel gösterimi; Hantley (2023; 5)</w:t>
            </w:r>
          </w:p>
          <w:p w14:paraId="34FDBBAE" w14:textId="77777777" w:rsidR="003F670C" w:rsidRPr="00484F81" w:rsidRDefault="003F670C" w:rsidP="00525540">
            <w:pPr>
              <w:jc w:val="both"/>
              <w:rPr>
                <w:rFonts w:ascii="Times New Roman" w:hAnsi="Times New Roman" w:cs="Times New Roman"/>
                <w:lang w:val="tr"/>
              </w:rPr>
            </w:pPr>
          </w:p>
          <w:p w14:paraId="0515DADB" w14:textId="77777777" w:rsidR="003F670C" w:rsidRPr="00484F81" w:rsidRDefault="003F670C" w:rsidP="00525540">
            <w:pPr>
              <w:jc w:val="both"/>
              <w:rPr>
                <w:rFonts w:ascii="Times New Roman" w:hAnsi="Times New Roman" w:cs="Times New Roman"/>
                <w:lang w:val="en-GB"/>
              </w:rPr>
            </w:pPr>
            <w:r w:rsidRPr="00484F81">
              <w:rPr>
                <w:rFonts w:ascii="Times New Roman" w:hAnsi="Times New Roman" w:cs="Times New Roman"/>
                <w:noProof/>
                <w:lang w:val="tr"/>
              </w:rPr>
              <w:drawing>
                <wp:inline distT="0" distB="0" distL="0" distR="0" wp14:anchorId="29DC49C7" wp14:editId="030722D3">
                  <wp:extent cx="3428736" cy="2879187"/>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48819" cy="2896051"/>
                          </a:xfrm>
                          <a:prstGeom prst="rect">
                            <a:avLst/>
                          </a:prstGeom>
                        </pic:spPr>
                      </pic:pic>
                    </a:graphicData>
                  </a:graphic>
                </wp:inline>
              </w:drawing>
            </w:r>
          </w:p>
          <w:p w14:paraId="3279B277" w14:textId="77777777" w:rsidR="003F670C" w:rsidRPr="00484F81" w:rsidRDefault="003F670C" w:rsidP="00525540">
            <w:pPr>
              <w:jc w:val="both"/>
              <w:rPr>
                <w:rFonts w:ascii="Times New Roman" w:hAnsi="Times New Roman" w:cs="Times New Roman"/>
                <w:lang w:val="en-GB"/>
              </w:rPr>
            </w:pPr>
            <w:r w:rsidRPr="00484F81">
              <w:rPr>
                <w:rFonts w:ascii="Times New Roman" w:hAnsi="Times New Roman" w:cs="Times New Roman"/>
                <w:color w:val="000000" w:themeColor="text1"/>
                <w:shd w:val="clear" w:color="auto" w:fill="FFFFFF"/>
                <w:lang w:val="tr"/>
              </w:rPr>
              <w:t xml:space="preserve">Kaynak: Huntley (2023). Springer, Cham. </w:t>
            </w:r>
            <w:hyperlink r:id="rId12" w:history="1">
              <w:r w:rsidRPr="00484F81">
                <w:rPr>
                  <w:rStyle w:val="Hyperlink"/>
                  <w:rFonts w:ascii="Times New Roman" w:hAnsi="Times New Roman" w:cs="Times New Roman"/>
                  <w:color w:val="000000" w:themeColor="text1"/>
                  <w:shd w:val="clear" w:color="auto" w:fill="FFFFFF"/>
                  <w:lang w:val="tr"/>
                </w:rPr>
                <w:t>https://doi.org/10.1007/978-3-031-18923-4_6</w:t>
              </w:r>
            </w:hyperlink>
            <w:r w:rsidRPr="00484F81">
              <w:rPr>
                <w:rStyle w:val="Hyperlink"/>
                <w:rFonts w:ascii="Times New Roman" w:hAnsi="Times New Roman" w:cs="Times New Roman"/>
                <w:color w:val="000000" w:themeColor="text1"/>
                <w:shd w:val="clear" w:color="auto" w:fill="FFFFFF"/>
                <w:lang w:val="tr"/>
              </w:rPr>
              <w:t>,</w:t>
            </w:r>
            <w:r w:rsidRPr="00484F81">
              <w:rPr>
                <w:rStyle w:val="Hyperlink"/>
                <w:color w:val="000000" w:themeColor="text1"/>
                <w:shd w:val="clear" w:color="auto" w:fill="FFFFFF"/>
                <w:lang w:val="tr"/>
              </w:rPr>
              <w:t xml:space="preserve"> </w:t>
            </w:r>
            <w:hyperlink r:id="rId13" w:history="1">
              <w:r w:rsidRPr="00484F81">
                <w:rPr>
                  <w:rStyle w:val="Hyperlink"/>
                  <w:rFonts w:ascii="Times New Roman" w:hAnsi="Times New Roman" w:cs="Times New Roman"/>
                  <w:lang w:val="tr"/>
                </w:rPr>
                <w:t>https://link.springer.com/chapter/10.1007/978-3-031-18923-4_6/figures/4</w:t>
              </w:r>
            </w:hyperlink>
          </w:p>
        </w:tc>
        <w:tc>
          <w:tcPr>
            <w:tcW w:w="616" w:type="dxa"/>
          </w:tcPr>
          <w:p w14:paraId="01C04DD6"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3, 4, 5</w:t>
            </w:r>
          </w:p>
        </w:tc>
      </w:tr>
      <w:tr w:rsidR="003F670C" w:rsidRPr="00484F81" w14:paraId="3CE9DD92" w14:textId="77777777" w:rsidTr="2C6C7817">
        <w:tc>
          <w:tcPr>
            <w:tcW w:w="2062" w:type="dxa"/>
          </w:tcPr>
          <w:p w14:paraId="68C8BA68" w14:textId="77777777" w:rsidR="003F670C" w:rsidRPr="00484F81" w:rsidRDefault="003F670C" w:rsidP="002A67F8">
            <w:pPr>
              <w:rPr>
                <w:rFonts w:ascii="Times New Roman" w:hAnsi="Times New Roman" w:cs="Times New Roman"/>
                <w:b/>
                <w:lang w:val="en-GB"/>
              </w:rPr>
            </w:pPr>
            <w:r w:rsidRPr="00484F81">
              <w:rPr>
                <w:rFonts w:ascii="Times New Roman" w:hAnsi="Times New Roman" w:cs="Times New Roman"/>
                <w:b/>
                <w:color w:val="3A7C22" w:themeColor="accent6" w:themeShade="BF"/>
                <w:lang w:val="tr"/>
              </w:rPr>
              <w:t>Biyoçeşitlilik</w:t>
            </w:r>
          </w:p>
        </w:tc>
        <w:tc>
          <w:tcPr>
            <w:tcW w:w="1469" w:type="dxa"/>
          </w:tcPr>
          <w:p w14:paraId="77A42189" w14:textId="77777777" w:rsidR="003F670C" w:rsidRPr="00484F81" w:rsidRDefault="003F670C" w:rsidP="002A67F8">
            <w:pPr>
              <w:jc w:val="both"/>
              <w:rPr>
                <w:rFonts w:ascii="Times New Roman" w:hAnsi="Times New Roman" w:cs="Times New Roman"/>
                <w:lang w:val="en-GB"/>
              </w:rPr>
            </w:pPr>
          </w:p>
        </w:tc>
        <w:tc>
          <w:tcPr>
            <w:tcW w:w="5615" w:type="dxa"/>
          </w:tcPr>
          <w:p w14:paraId="6EA78B57" w14:textId="77777777" w:rsidR="003F670C" w:rsidRPr="00484F81" w:rsidRDefault="003F670C" w:rsidP="00AC40AC">
            <w:pPr>
              <w:jc w:val="both"/>
              <w:rPr>
                <w:rFonts w:ascii="Times New Roman" w:hAnsi="Times New Roman" w:cs="Times New Roman"/>
                <w:lang w:val="tr"/>
              </w:rPr>
            </w:pPr>
            <w:r w:rsidRPr="00484F81">
              <w:rPr>
                <w:rFonts w:ascii="Times New Roman" w:hAnsi="Times New Roman" w:cs="Times New Roman"/>
                <w:lang w:val="tr"/>
              </w:rPr>
              <w:t>Türler içindeki genetik çeşitlilik, türlerin kendi içindeki çeşitlilik ve ekosistemlerin çeşitliliği de dahil olmak üzere yeryüzündeki yaşamın her düzeydeki çeşitliliğini ifade eder. Biyoçeşitlilik, bitkileri, hayvanları, mantarları, mikroorganizmaları ve bunların parçası olduğu ekolojik kompleksleri kapsar. Biyoçeşitlilik, besin döngüsü, tozlaşma, toprak oluşumu ve iklim düzenlemesi gibi yaşamı sürdüren süreçlerin temelini oluşturduğu için ekosistemlerin istikrarı ve esnekliği açısından büyük önem taşımaktadır.</w:t>
            </w:r>
          </w:p>
          <w:p w14:paraId="2C996B23" w14:textId="77777777" w:rsidR="003F670C" w:rsidRPr="00484F81" w:rsidRDefault="003F670C" w:rsidP="00AC40AC">
            <w:pPr>
              <w:jc w:val="both"/>
              <w:rPr>
                <w:rFonts w:ascii="Times New Roman" w:hAnsi="Times New Roman" w:cs="Times New Roman"/>
                <w:lang w:val="tr"/>
              </w:rPr>
            </w:pPr>
            <w:r w:rsidRPr="00484F81">
              <w:rPr>
                <w:rFonts w:ascii="Times New Roman" w:hAnsi="Times New Roman" w:cs="Times New Roman"/>
                <w:lang w:val="tr"/>
              </w:rPr>
              <w:t>Biyoçeşitliliğin işlevleri hem doğal ekosistemler hem de insanların esenliği için kritik önemdedir. Biyoçeşitlilik bir yandan gıda, temiz su, ilaç ve hammadde gibi ekosistem hizmetleri sağlarken, diğer yandan kültürel, rekreasyonel ve estetik değerlere katkıda bulunur. Biyoçeşitlilik, ekosistem üretkenliğini ve direncini artırarak ekosistemlerin düzensizliklerin üstesinden gelmesini ve örneğin iklim değişikliğinin neden olduğu değişikliklere uyum sağlamasını mümkün kılar. Habitatın tahrip edilmesi, kirlilik, aşırı tüketim ve istilacı türlerin neden olduğu biyolojik çeşitlilik kaybı, bu hayati işlevleri ve hizmetleri tehdit etmektedir.</w:t>
            </w:r>
          </w:p>
        </w:tc>
        <w:tc>
          <w:tcPr>
            <w:tcW w:w="616" w:type="dxa"/>
          </w:tcPr>
          <w:p w14:paraId="14AFF229"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39</w:t>
            </w:r>
          </w:p>
        </w:tc>
      </w:tr>
      <w:tr w:rsidR="003F670C" w:rsidRPr="00484F81" w14:paraId="511869F0" w14:textId="77777777" w:rsidTr="2C6C7817">
        <w:tc>
          <w:tcPr>
            <w:tcW w:w="2062" w:type="dxa"/>
          </w:tcPr>
          <w:p w14:paraId="72E5F93C"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Biyokütle</w:t>
            </w:r>
          </w:p>
        </w:tc>
        <w:tc>
          <w:tcPr>
            <w:tcW w:w="1469" w:type="dxa"/>
          </w:tcPr>
          <w:p w14:paraId="7B9772C5" w14:textId="77777777" w:rsidR="003F670C" w:rsidRPr="00484F81" w:rsidRDefault="003F670C" w:rsidP="002A67F8">
            <w:pPr>
              <w:jc w:val="both"/>
              <w:rPr>
                <w:rFonts w:ascii="Times New Roman" w:hAnsi="Times New Roman" w:cs="Times New Roman"/>
                <w:lang w:val="en-GB"/>
              </w:rPr>
            </w:pPr>
          </w:p>
        </w:tc>
        <w:tc>
          <w:tcPr>
            <w:tcW w:w="5615" w:type="dxa"/>
          </w:tcPr>
          <w:p w14:paraId="7C1AF90E" w14:textId="77777777" w:rsidR="003F670C" w:rsidRPr="00484F81" w:rsidRDefault="003F670C" w:rsidP="002A67F8">
            <w:pPr>
              <w:jc w:val="both"/>
              <w:rPr>
                <w:rFonts w:ascii="Times New Roman" w:hAnsi="Times New Roman" w:cs="Times New Roman"/>
                <w:lang w:val="tr"/>
              </w:rPr>
            </w:pPr>
            <w:r w:rsidRPr="00484F81">
              <w:rPr>
                <w:rFonts w:ascii="Times New Roman" w:hAnsi="Times New Roman" w:cs="Times New Roman"/>
                <w:lang w:val="tr"/>
              </w:rPr>
              <w:t xml:space="preserve">Biyolojik kökenli (bitkiler ve hayvanlar) organik maddeleri ifade eder. Bu terim, tarımsal-endüstriyel pis su ve atıkları, enerji bitkilerini, doğadan elde edilen malzemeleri (örn. odun) </w:t>
            </w:r>
            <w:r w:rsidRPr="00484F81">
              <w:rPr>
                <w:rFonts w:ascii="Times New Roman" w:hAnsi="Times New Roman" w:cs="Times New Roman"/>
                <w:lang w:val="tr"/>
              </w:rPr>
              <w:lastRenderedPageBreak/>
              <w:t>veya organik atıkları ifade etmek için kullanılabilir. Biyokütle, toprak verimliliğini ve sağlığını iyileştirmek, karbon depolanmasını artırmak veya biyoyakıt üretiminde hammadde olarak biyorafinerilerde ve endüstriyel süreçlerde fosil hammaddelere alternatif oluşturmak amacıyla kullanılabilir.</w:t>
            </w:r>
          </w:p>
        </w:tc>
        <w:tc>
          <w:tcPr>
            <w:tcW w:w="616" w:type="dxa"/>
          </w:tcPr>
          <w:p w14:paraId="31D19A47"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lastRenderedPageBreak/>
              <w:t>1</w:t>
            </w:r>
          </w:p>
        </w:tc>
      </w:tr>
      <w:tr w:rsidR="003F670C" w:rsidRPr="00484F81" w14:paraId="66B66917" w14:textId="77777777" w:rsidTr="2C6C7817">
        <w:tc>
          <w:tcPr>
            <w:tcW w:w="2062" w:type="dxa"/>
          </w:tcPr>
          <w:p w14:paraId="30A4F55A" w14:textId="77777777" w:rsidR="003F670C" w:rsidRPr="00484F81" w:rsidRDefault="003F670C" w:rsidP="002A67F8">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Bulamaç</w:t>
            </w:r>
          </w:p>
        </w:tc>
        <w:tc>
          <w:tcPr>
            <w:tcW w:w="1469" w:type="dxa"/>
          </w:tcPr>
          <w:p w14:paraId="43655D61" w14:textId="77777777" w:rsidR="003F670C" w:rsidRPr="00484F81" w:rsidRDefault="003F670C" w:rsidP="00525540">
            <w:pPr>
              <w:jc w:val="both"/>
              <w:rPr>
                <w:rFonts w:ascii="Times New Roman" w:hAnsi="Times New Roman" w:cs="Times New Roman"/>
                <w:lang w:val="en-GB"/>
              </w:rPr>
            </w:pPr>
          </w:p>
        </w:tc>
        <w:tc>
          <w:tcPr>
            <w:tcW w:w="5615" w:type="dxa"/>
          </w:tcPr>
          <w:p w14:paraId="22BC2A5B" w14:textId="77777777" w:rsidR="003F670C" w:rsidRPr="00484F81" w:rsidRDefault="003F670C" w:rsidP="00525540">
            <w:pPr>
              <w:jc w:val="both"/>
              <w:rPr>
                <w:rFonts w:ascii="Times New Roman" w:hAnsi="Times New Roman" w:cs="Times New Roman"/>
                <w:lang w:val="tr"/>
              </w:rPr>
            </w:pPr>
            <w:r w:rsidRPr="00484F81">
              <w:rPr>
                <w:rFonts w:ascii="Times New Roman" w:hAnsi="Times New Roman" w:cs="Times New Roman"/>
                <w:lang w:val="tr"/>
              </w:rPr>
              <w:t>Bulamaç, hayvan gübresi ve sudan oluşan, genellikle ilave organik madde içeren, yarı sıvı kıvamda bir karışımdır. Bulamaç genellikle hayvancılık sistemlerinde, özellikle de süt, domuz ve kümes hayvanları çiftlikleri gibi kapalı veya muhafazalı hayvancılık tesislerinde üretilir. Bulamaç genellikle hayvan barınaklarından toplanır ve besin açısından zengin bir gübre olarak tarım alanlarına uygulanmadan önce tanklarda, havuzlarda veya çukurlarda depolanır.</w:t>
            </w:r>
          </w:p>
        </w:tc>
        <w:tc>
          <w:tcPr>
            <w:tcW w:w="616" w:type="dxa"/>
          </w:tcPr>
          <w:p w14:paraId="27B1AFEA"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4, 42</w:t>
            </w:r>
          </w:p>
        </w:tc>
      </w:tr>
      <w:tr w:rsidR="003F670C" w:rsidRPr="00484F81" w14:paraId="44916DD1" w14:textId="77777777" w:rsidTr="2C6C7817">
        <w:tc>
          <w:tcPr>
            <w:tcW w:w="2062" w:type="dxa"/>
          </w:tcPr>
          <w:p w14:paraId="7EEA8353" w14:textId="77777777" w:rsidR="003F670C" w:rsidRPr="00484F81" w:rsidRDefault="003F670C" w:rsidP="00A655ED">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Bütüncül yaklaşım</w:t>
            </w:r>
          </w:p>
        </w:tc>
        <w:tc>
          <w:tcPr>
            <w:tcW w:w="1469" w:type="dxa"/>
          </w:tcPr>
          <w:p w14:paraId="05BCFD8B" w14:textId="77777777" w:rsidR="003F670C" w:rsidRPr="00484F81" w:rsidRDefault="003F670C" w:rsidP="00A655ED">
            <w:pPr>
              <w:jc w:val="both"/>
              <w:rPr>
                <w:rFonts w:ascii="Times New Roman" w:hAnsi="Times New Roman" w:cs="Times New Roman"/>
                <w:lang w:val="en-GB"/>
              </w:rPr>
            </w:pPr>
          </w:p>
        </w:tc>
        <w:tc>
          <w:tcPr>
            <w:tcW w:w="5615" w:type="dxa"/>
          </w:tcPr>
          <w:p w14:paraId="3E5770AC"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lang w:val="tr"/>
              </w:rPr>
              <w:t xml:space="preserve">Yalnızca tek tek bileşenlere odaklanmak yerine tüm sistemi göz önünde bulunduran bir metodolojiyi ifade eder. Bu yaklaşım, bir alandaki değişikliklerin diğerlerini önemli ölçüde etkileyebileceğini kabul ederek bir sistem içindeki çeşitli unsurların birbirine bağlılığına dikkat çeker. Bütüncül bir yaklaşım, bir sorunun ve bağlamının daha kapsamlı bir şekilde anlaşılmasını sağlamak için farklı bakış açılarını ve disiplinleri bir araya getirir. Bu metodoloji paydaşlar arasında işbirliğini teşvik eder ve farklı alanlarda sürdürülebilir ve etkili çözümleri destekler. Bu yaklaşım genellikle sağlık, eğitim, çevre bilimi ve sosyal politika gibi alanlarda uygulanır. </w:t>
            </w:r>
          </w:p>
        </w:tc>
        <w:tc>
          <w:tcPr>
            <w:tcW w:w="616" w:type="dxa"/>
          </w:tcPr>
          <w:p w14:paraId="3B8A52A6" w14:textId="77777777" w:rsidR="003F670C" w:rsidRPr="00484F81" w:rsidRDefault="003F670C" w:rsidP="00A655ED">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Loess</w:t>
            </w:r>
          </w:p>
        </w:tc>
      </w:tr>
      <w:tr w:rsidR="003F670C" w:rsidRPr="00484F81" w14:paraId="767851D4" w14:textId="77777777" w:rsidTr="2C6C7817">
        <w:tc>
          <w:tcPr>
            <w:tcW w:w="2062" w:type="dxa"/>
          </w:tcPr>
          <w:p w14:paraId="1A2EB7A8" w14:textId="77777777" w:rsidR="003F670C" w:rsidRPr="00484F81" w:rsidRDefault="003F670C" w:rsidP="00A655ED">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Çevresel izleyiciler</w:t>
            </w:r>
          </w:p>
        </w:tc>
        <w:tc>
          <w:tcPr>
            <w:tcW w:w="1469" w:type="dxa"/>
          </w:tcPr>
          <w:p w14:paraId="0D485B83" w14:textId="77777777" w:rsidR="003F670C" w:rsidRPr="00484F81" w:rsidRDefault="003F670C" w:rsidP="00A655ED">
            <w:pPr>
              <w:jc w:val="both"/>
              <w:rPr>
                <w:rFonts w:ascii="Times New Roman" w:hAnsi="Times New Roman" w:cs="Times New Roman"/>
                <w:lang w:val="en-GB"/>
              </w:rPr>
            </w:pPr>
          </w:p>
        </w:tc>
        <w:tc>
          <w:tcPr>
            <w:tcW w:w="5615" w:type="dxa"/>
          </w:tcPr>
          <w:p w14:paraId="2BEB5BE6"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lang w:val="tr"/>
              </w:rPr>
              <w:t>Bunlar suyun, kirleticilerin veya diğer maddelerin çevre içindeki hareketlerini izlemek amacıyla kullanılan maddeleri ifade eder. Kararlı izotoplar ve soy gazlar, yeraltı suyu akışı, kirletici taşınımı ve biyojeokimyasal döngüler gibi süreçlerin incelenmesinde sıklıkla izleyici madde olarak kullanılır.</w:t>
            </w:r>
          </w:p>
          <w:p w14:paraId="7F315FF1" w14:textId="77777777" w:rsidR="003F670C" w:rsidRPr="00484F81" w:rsidRDefault="003F670C" w:rsidP="00A655ED">
            <w:pPr>
              <w:jc w:val="both"/>
              <w:rPr>
                <w:rFonts w:ascii="Times New Roman" w:hAnsi="Times New Roman" w:cs="Times New Roman"/>
                <w:lang w:val="tr"/>
              </w:rPr>
            </w:pPr>
          </w:p>
        </w:tc>
        <w:tc>
          <w:tcPr>
            <w:tcW w:w="616" w:type="dxa"/>
          </w:tcPr>
          <w:p w14:paraId="243A9524" w14:textId="77777777" w:rsidR="003F670C" w:rsidRPr="00484F81" w:rsidRDefault="003F670C" w:rsidP="00A655ED">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35</w:t>
            </w:r>
          </w:p>
        </w:tc>
      </w:tr>
      <w:tr w:rsidR="003F670C" w:rsidRPr="00484F81" w14:paraId="2B2E9FC6" w14:textId="77777777" w:rsidTr="2C6C7817">
        <w:tc>
          <w:tcPr>
            <w:tcW w:w="2062" w:type="dxa"/>
          </w:tcPr>
          <w:p w14:paraId="00E8245C" w14:textId="77777777" w:rsidR="003F670C" w:rsidRPr="00484F81" w:rsidRDefault="003F670C" w:rsidP="2C6C7817">
            <w:pPr>
              <w:rPr>
                <w:rFonts w:ascii="Times New Roman" w:eastAsia="Times New Roman" w:hAnsi="Times New Roman" w:cs="Times New Roman"/>
                <w:b/>
                <w:bCs/>
                <w:color w:val="3A7C22" w:themeColor="accent6" w:themeShade="BF"/>
                <w:lang w:val="en-GB"/>
              </w:rPr>
            </w:pPr>
            <w:r w:rsidRPr="00484F81">
              <w:rPr>
                <w:rFonts w:ascii="Times New Roman" w:eastAsia="Times New Roman" w:hAnsi="Times New Roman" w:cs="Times New Roman"/>
                <w:b/>
                <w:bCs/>
                <w:color w:val="3A7C22" w:themeColor="accent6" w:themeShade="BF"/>
                <w:lang w:val="tr"/>
              </w:rPr>
              <w:t xml:space="preserve">Çok sektörlü yaklaşım </w:t>
            </w:r>
          </w:p>
        </w:tc>
        <w:tc>
          <w:tcPr>
            <w:tcW w:w="1469" w:type="dxa"/>
          </w:tcPr>
          <w:p w14:paraId="64C79817" w14:textId="77777777" w:rsidR="003F670C" w:rsidRPr="00484F81" w:rsidRDefault="003F670C" w:rsidP="00A655ED">
            <w:pPr>
              <w:jc w:val="both"/>
              <w:rPr>
                <w:rFonts w:ascii="Times New Roman" w:hAnsi="Times New Roman" w:cs="Times New Roman"/>
                <w:lang w:val="en-GB"/>
              </w:rPr>
            </w:pPr>
          </w:p>
        </w:tc>
        <w:tc>
          <w:tcPr>
            <w:tcW w:w="5615" w:type="dxa"/>
          </w:tcPr>
          <w:p w14:paraId="58228CD0" w14:textId="77777777" w:rsidR="003F670C" w:rsidRPr="00484F81" w:rsidRDefault="003F670C" w:rsidP="00A655ED">
            <w:pPr>
              <w:jc w:val="both"/>
              <w:rPr>
                <w:rFonts w:ascii="Times New Roman" w:hAnsi="Times New Roman" w:cs="Times New Roman"/>
                <w:lang w:val="en-GB"/>
              </w:rPr>
            </w:pPr>
            <w:r w:rsidRPr="00484F81">
              <w:rPr>
                <w:rFonts w:ascii="Times New Roman" w:hAnsi="Times New Roman" w:cs="Times New Roman"/>
                <w:lang w:val="tr"/>
              </w:rPr>
              <w:t>Belirli bir sorunu ele almak için farklı disiplinlerden araştırmacıların bir araya geldiği, her bir disiplinin kendine özgü bilgi ve teknikleriyle katkıda bulunduğu ve sorunun daha kapsamlı bir şekilde anlaşılmasını sağlayan işbirliğini ifade eder.</w:t>
            </w:r>
            <w:r w:rsidRPr="00484F81">
              <w:rPr>
                <w:lang w:val="tr"/>
              </w:rPr>
              <w:t xml:space="preserve"> </w:t>
            </w:r>
            <w:r w:rsidRPr="00484F81">
              <w:rPr>
                <w:rFonts w:ascii="Times New Roman" w:hAnsi="Times New Roman" w:cs="Times New Roman"/>
                <w:lang w:val="tr"/>
              </w:rPr>
              <w:t>Entegrasyon düzeyi düşüktür ve disiplinler birbirine paralel şekilde çalışır.</w:t>
            </w:r>
          </w:p>
        </w:tc>
        <w:tc>
          <w:tcPr>
            <w:tcW w:w="616" w:type="dxa"/>
          </w:tcPr>
          <w:p w14:paraId="4080E06E" w14:textId="77777777" w:rsidR="003F670C" w:rsidRPr="00484F81" w:rsidRDefault="003F670C" w:rsidP="00A655ED">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32, 37</w:t>
            </w:r>
          </w:p>
        </w:tc>
      </w:tr>
      <w:tr w:rsidR="003F670C" w:rsidRPr="00484F81" w14:paraId="1E01F94C" w14:textId="77777777" w:rsidTr="2C6C7817">
        <w:tc>
          <w:tcPr>
            <w:tcW w:w="2062" w:type="dxa"/>
          </w:tcPr>
          <w:p w14:paraId="36B4312B"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Çölleşme</w:t>
            </w:r>
          </w:p>
        </w:tc>
        <w:tc>
          <w:tcPr>
            <w:tcW w:w="1469" w:type="dxa"/>
          </w:tcPr>
          <w:p w14:paraId="39CF07FA" w14:textId="77777777" w:rsidR="003F670C" w:rsidRPr="00484F81" w:rsidRDefault="003F670C" w:rsidP="002A67F8">
            <w:pPr>
              <w:jc w:val="both"/>
              <w:rPr>
                <w:rFonts w:ascii="Times New Roman" w:hAnsi="Times New Roman" w:cs="Times New Roman"/>
                <w:lang w:val="en-GB"/>
              </w:rPr>
            </w:pPr>
          </w:p>
        </w:tc>
        <w:tc>
          <w:tcPr>
            <w:tcW w:w="5615" w:type="dxa"/>
          </w:tcPr>
          <w:p w14:paraId="5671D4FD" w14:textId="77777777" w:rsidR="003F670C" w:rsidRPr="00484F81" w:rsidRDefault="003F670C" w:rsidP="002A67F8">
            <w:pPr>
              <w:jc w:val="both"/>
              <w:rPr>
                <w:rFonts w:ascii="Times New Roman" w:hAnsi="Times New Roman" w:cs="Times New Roman"/>
                <w:lang w:val="en-GB"/>
              </w:rPr>
            </w:pPr>
            <w:r w:rsidRPr="00484F81">
              <w:rPr>
                <w:rFonts w:ascii="Times New Roman" w:hAnsi="Times New Roman" w:cs="Times New Roman"/>
                <w:lang w:val="tr"/>
              </w:rPr>
              <w:t>Nispeten kuru arazilerin giderek daha kurak hale geldiği, genellikle su kütlesinin yanı sıra bitki örtüsünü ve yaban hayatını ya doğrudan iklim değişikliği yoluyla ya da kötü yönetimden kaynaklanan toprak bozulması yoluyla dolaylı olarak kaybettiği süreci ifade eder.</w:t>
            </w:r>
          </w:p>
        </w:tc>
        <w:tc>
          <w:tcPr>
            <w:tcW w:w="616" w:type="dxa"/>
          </w:tcPr>
          <w:p w14:paraId="6804DF93"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4</w:t>
            </w:r>
          </w:p>
        </w:tc>
      </w:tr>
      <w:tr w:rsidR="003F670C" w:rsidRPr="00484F81" w14:paraId="1BFD088B" w14:textId="77777777" w:rsidTr="2C6C7817">
        <w:tc>
          <w:tcPr>
            <w:tcW w:w="2062" w:type="dxa"/>
          </w:tcPr>
          <w:p w14:paraId="4CC5ABDB" w14:textId="77777777" w:rsidR="003F670C" w:rsidRPr="00484F81" w:rsidRDefault="003F670C" w:rsidP="00A655ED">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Değer</w:t>
            </w:r>
          </w:p>
        </w:tc>
        <w:tc>
          <w:tcPr>
            <w:tcW w:w="1469" w:type="dxa"/>
          </w:tcPr>
          <w:p w14:paraId="565EC2D4" w14:textId="77777777" w:rsidR="003F670C" w:rsidRPr="00484F81" w:rsidRDefault="003F670C" w:rsidP="00A655ED">
            <w:pPr>
              <w:jc w:val="both"/>
              <w:rPr>
                <w:rFonts w:ascii="Times New Roman" w:hAnsi="Times New Roman" w:cs="Times New Roman"/>
                <w:lang w:val="en-GB"/>
              </w:rPr>
            </w:pPr>
          </w:p>
        </w:tc>
        <w:tc>
          <w:tcPr>
            <w:tcW w:w="5615" w:type="dxa"/>
          </w:tcPr>
          <w:p w14:paraId="0C6529CB"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lang w:val="tr"/>
              </w:rPr>
              <w:t>Çevre bilimi bağlamında değer, doğal kaynaklara, ekosistemlere ve biyoçeşitliliğe atfedilen önemi veya anlamı ifade eder. Bu, ekolojik, ekonomik, sosyal ve içsel değerler de dahil olmak üzere çeşitli boyutları içerebilir.</w:t>
            </w:r>
          </w:p>
          <w:p w14:paraId="2000FE01"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b/>
                <w:lang w:val="tr"/>
              </w:rPr>
              <w:t>Ekolojik Değer</w:t>
            </w:r>
            <w:r w:rsidRPr="00484F81">
              <w:rPr>
                <w:rFonts w:ascii="Times New Roman" w:hAnsi="Times New Roman" w:cs="Times New Roman"/>
                <w:lang w:val="tr"/>
              </w:rPr>
              <w:t>: Bu, ekosistemlerin biyolojik çeşitliliğin korunmasında ve yaşam süreçlerinin desteklenmesinde oynadığı rolle ilgilidir. Örneğin kutup bölgelerindeki endemik türlerin varlıklarını sürdürebilmeleri için kritik önemde olan Antarktika'daki iç sular benzersiz biyolojik çeşitlilikleri ve biyolojik üretimleriyle bilinmektedir.</w:t>
            </w:r>
          </w:p>
          <w:p w14:paraId="611D3B1C"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b/>
                <w:lang w:val="tr"/>
              </w:rPr>
              <w:t>Ekonomik Değer</w:t>
            </w:r>
            <w:r w:rsidRPr="00484F81">
              <w:rPr>
                <w:rFonts w:ascii="Times New Roman" w:hAnsi="Times New Roman" w:cs="Times New Roman"/>
                <w:lang w:val="tr"/>
              </w:rPr>
              <w:t xml:space="preserve">: Bu değer, kereste, madenler ve temiz su ve hava gibi ekosistem hizmetleri gibi doğal kaynaklardan elde </w:t>
            </w:r>
            <w:r w:rsidRPr="00484F81">
              <w:rPr>
                <w:rFonts w:ascii="Times New Roman" w:hAnsi="Times New Roman" w:cs="Times New Roman"/>
                <w:lang w:val="tr"/>
              </w:rPr>
              <w:lastRenderedPageBreak/>
              <w:t>edilen somut faydaları içerir. Ekonomik değer, genellikle doğal yaşam alanlarının korunmasının mali getirilerini ölçen piyasa temelli yaklaşımlar veya maliyet-fayda analizleri ile değerlendirilir.</w:t>
            </w:r>
          </w:p>
          <w:p w14:paraId="39719DB4"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b/>
                <w:lang w:val="tr"/>
              </w:rPr>
              <w:t>Sosyal Değer</w:t>
            </w:r>
            <w:r w:rsidRPr="00484F81">
              <w:rPr>
                <w:rFonts w:ascii="Times New Roman" w:hAnsi="Times New Roman" w:cs="Times New Roman"/>
                <w:lang w:val="tr"/>
              </w:rPr>
              <w:t>: Bu, doğal alanların topluluklar açısından kültürel ve rekreasyonel önemini yansıtır. Bu değer, estetik beğeni, doğayla kurulan manevi bağlar ve ekosistemlerin sağladığı rekreasyonel fırsatlar gibi unsurları içerir.</w:t>
            </w:r>
          </w:p>
          <w:p w14:paraId="56BBD7E2" w14:textId="77777777" w:rsidR="003F670C" w:rsidRPr="00484F81" w:rsidRDefault="003F670C" w:rsidP="00A655ED">
            <w:pPr>
              <w:jc w:val="both"/>
              <w:rPr>
                <w:rFonts w:ascii="Times New Roman" w:hAnsi="Times New Roman" w:cs="Times New Roman"/>
                <w:lang w:val="en-GB"/>
              </w:rPr>
            </w:pPr>
            <w:r w:rsidRPr="00484F81">
              <w:rPr>
                <w:rFonts w:ascii="Times New Roman" w:hAnsi="Times New Roman" w:cs="Times New Roman"/>
                <w:b/>
                <w:lang w:val="tr"/>
              </w:rPr>
              <w:t>İçsel Değer</w:t>
            </w:r>
            <w:r w:rsidRPr="00484F81">
              <w:rPr>
                <w:rFonts w:ascii="Times New Roman" w:hAnsi="Times New Roman" w:cs="Times New Roman"/>
                <w:lang w:val="tr"/>
              </w:rPr>
              <w:t>: Bu kavram, doğanın insanlara sağladığı faydalardan bağımsız olarak kendi içinde bir değere sahip olduğunu ileri sürer. Bu yaklaşım, ekosistemlerin içsel değeri temelinde korunması gerektiğini savunur.</w:t>
            </w:r>
          </w:p>
        </w:tc>
        <w:tc>
          <w:tcPr>
            <w:tcW w:w="616" w:type="dxa"/>
          </w:tcPr>
          <w:p w14:paraId="7F55DC9A" w14:textId="77777777" w:rsidR="003F670C" w:rsidRPr="00484F81" w:rsidRDefault="003F670C" w:rsidP="00A655ED">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lastRenderedPageBreak/>
              <w:t>21,22</w:t>
            </w:r>
          </w:p>
        </w:tc>
      </w:tr>
      <w:tr w:rsidR="003F670C" w:rsidRPr="00484F81" w14:paraId="05E31D14" w14:textId="77777777" w:rsidTr="2C6C7817">
        <w:tc>
          <w:tcPr>
            <w:tcW w:w="2062" w:type="dxa"/>
          </w:tcPr>
          <w:p w14:paraId="553D7511"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Denitrifikasyon</w:t>
            </w:r>
          </w:p>
        </w:tc>
        <w:tc>
          <w:tcPr>
            <w:tcW w:w="1469" w:type="dxa"/>
          </w:tcPr>
          <w:p w14:paraId="31C0EC56" w14:textId="77777777" w:rsidR="003F670C" w:rsidRPr="00484F81" w:rsidRDefault="003F670C" w:rsidP="002A67F8">
            <w:pPr>
              <w:jc w:val="both"/>
              <w:rPr>
                <w:rFonts w:ascii="Times New Roman" w:hAnsi="Times New Roman" w:cs="Times New Roman"/>
                <w:lang w:val="en-GB"/>
              </w:rPr>
            </w:pPr>
          </w:p>
        </w:tc>
        <w:tc>
          <w:tcPr>
            <w:tcW w:w="5615" w:type="dxa"/>
          </w:tcPr>
          <w:p w14:paraId="51376CF1" w14:textId="77777777" w:rsidR="003F670C" w:rsidRPr="00484F81" w:rsidRDefault="003F670C" w:rsidP="002A67F8">
            <w:pPr>
              <w:jc w:val="both"/>
              <w:rPr>
                <w:rFonts w:ascii="Times New Roman" w:hAnsi="Times New Roman" w:cs="Times New Roman"/>
                <w:lang w:val="en-GB"/>
              </w:rPr>
            </w:pPr>
            <w:r w:rsidRPr="00484F81">
              <w:rPr>
                <w:rFonts w:ascii="Times New Roman" w:hAnsi="Times New Roman" w:cs="Times New Roman"/>
                <w:lang w:val="tr"/>
              </w:rPr>
              <w:t>Birkaç anaerobik toprak bakterisi türü tarafından gerçekleştirilen ve nitrit veya nitratın nitrojen gazına (N</w:t>
            </w:r>
            <w:r w:rsidRPr="00484F81">
              <w:rPr>
                <w:rFonts w:ascii="Times New Roman" w:hAnsi="Times New Roman" w:cs="Times New Roman"/>
                <w:vertAlign w:val="subscript"/>
                <w:lang w:val="tr"/>
              </w:rPr>
              <w:t>2</w:t>
            </w:r>
            <w:r w:rsidRPr="00484F81">
              <w:rPr>
                <w:rFonts w:ascii="Times New Roman" w:hAnsi="Times New Roman" w:cs="Times New Roman"/>
                <w:lang w:val="tr"/>
              </w:rPr>
              <w:t>) veya nitröz okside (N</w:t>
            </w:r>
            <w:r w:rsidRPr="00484F81">
              <w:rPr>
                <w:rFonts w:ascii="Times New Roman" w:hAnsi="Times New Roman" w:cs="Times New Roman"/>
                <w:vertAlign w:val="subscript"/>
                <w:lang w:val="tr"/>
              </w:rPr>
              <w:t>2</w:t>
            </w:r>
            <w:r w:rsidRPr="00484F81">
              <w:rPr>
                <w:rFonts w:ascii="Times New Roman" w:hAnsi="Times New Roman" w:cs="Times New Roman"/>
                <w:lang w:val="tr"/>
              </w:rPr>
              <w:t>O) dönüştürüldüğü süreci ifade eder. N</w:t>
            </w:r>
            <w:r w:rsidRPr="00484F81">
              <w:rPr>
                <w:rFonts w:ascii="Times New Roman" w:hAnsi="Times New Roman" w:cs="Times New Roman"/>
                <w:vertAlign w:val="subscript"/>
                <w:lang w:val="tr"/>
              </w:rPr>
              <w:t>2</w:t>
            </w:r>
            <w:r w:rsidRPr="00484F81">
              <w:rPr>
                <w:rFonts w:ascii="Times New Roman" w:hAnsi="Times New Roman" w:cs="Times New Roman"/>
                <w:lang w:val="tr"/>
              </w:rPr>
              <w:t xml:space="preserve"> ve N</w:t>
            </w:r>
            <w:r w:rsidRPr="00484F81">
              <w:rPr>
                <w:rFonts w:ascii="Times New Roman" w:hAnsi="Times New Roman" w:cs="Times New Roman"/>
                <w:vertAlign w:val="subscript"/>
                <w:lang w:val="tr"/>
              </w:rPr>
              <w:t>2</w:t>
            </w:r>
            <w:r w:rsidRPr="00484F81">
              <w:rPr>
                <w:rFonts w:ascii="Times New Roman" w:hAnsi="Times New Roman" w:cs="Times New Roman"/>
                <w:lang w:val="tr"/>
              </w:rPr>
              <w:t>O uçucu özelliktedir ve atmosfere karışır.</w:t>
            </w:r>
          </w:p>
        </w:tc>
        <w:tc>
          <w:tcPr>
            <w:tcW w:w="616" w:type="dxa"/>
          </w:tcPr>
          <w:p w14:paraId="565B4140"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3</w:t>
            </w:r>
          </w:p>
        </w:tc>
      </w:tr>
      <w:tr w:rsidR="003F670C" w:rsidRPr="00484F81" w14:paraId="77B59379" w14:textId="77777777" w:rsidTr="2C6C7817">
        <w:tc>
          <w:tcPr>
            <w:tcW w:w="2062" w:type="dxa"/>
          </w:tcPr>
          <w:p w14:paraId="74DF4029" w14:textId="77777777" w:rsidR="003F670C" w:rsidRPr="00484F81" w:rsidRDefault="003F670C" w:rsidP="002A67F8">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Direnç</w:t>
            </w:r>
          </w:p>
        </w:tc>
        <w:tc>
          <w:tcPr>
            <w:tcW w:w="1469" w:type="dxa"/>
          </w:tcPr>
          <w:p w14:paraId="33AD5211" w14:textId="77777777" w:rsidR="003F670C" w:rsidRPr="00484F81" w:rsidRDefault="003F670C" w:rsidP="00525540">
            <w:pPr>
              <w:jc w:val="both"/>
              <w:rPr>
                <w:rFonts w:ascii="Times New Roman" w:hAnsi="Times New Roman" w:cs="Times New Roman"/>
                <w:lang w:val="en-GB"/>
              </w:rPr>
            </w:pPr>
          </w:p>
        </w:tc>
        <w:tc>
          <w:tcPr>
            <w:tcW w:w="5615" w:type="dxa"/>
          </w:tcPr>
          <w:p w14:paraId="1B3222AE" w14:textId="77777777" w:rsidR="003F670C" w:rsidRPr="00484F81" w:rsidRDefault="003F670C" w:rsidP="00525540">
            <w:pPr>
              <w:jc w:val="both"/>
              <w:rPr>
                <w:rFonts w:ascii="Times New Roman" w:hAnsi="Times New Roman" w:cs="Times New Roman"/>
                <w:lang w:val="en-GB"/>
              </w:rPr>
            </w:pPr>
            <w:r w:rsidRPr="00484F81">
              <w:rPr>
                <w:rFonts w:ascii="Times New Roman" w:hAnsi="Times New Roman" w:cs="Times New Roman"/>
                <w:lang w:val="tr"/>
              </w:rPr>
              <w:t>Bir ekosistemin, yapısında veya işlevinde olumsuz değişiklikler olmadan bir baskı veya tahribata dayanma ve dolayısıyla dengeyi sürdürebilme yeteneğini ifade eder.</w:t>
            </w:r>
          </w:p>
        </w:tc>
        <w:tc>
          <w:tcPr>
            <w:tcW w:w="616" w:type="dxa"/>
          </w:tcPr>
          <w:p w14:paraId="6D693224"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4</w:t>
            </w:r>
          </w:p>
        </w:tc>
      </w:tr>
      <w:tr w:rsidR="003F670C" w:rsidRPr="00484F81" w14:paraId="10E644FF" w14:textId="77777777" w:rsidTr="2C6C7817">
        <w:tc>
          <w:tcPr>
            <w:tcW w:w="2062" w:type="dxa"/>
          </w:tcPr>
          <w:p w14:paraId="0BE787AA" w14:textId="77777777" w:rsidR="003F670C" w:rsidRPr="00484F81" w:rsidRDefault="003F670C" w:rsidP="00A655ED">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Disiplinlerarasılık</w:t>
            </w:r>
          </w:p>
        </w:tc>
        <w:tc>
          <w:tcPr>
            <w:tcW w:w="1469" w:type="dxa"/>
          </w:tcPr>
          <w:p w14:paraId="4C4C3E3A" w14:textId="77777777" w:rsidR="003F670C" w:rsidRPr="00484F81" w:rsidRDefault="003F670C" w:rsidP="00A655ED">
            <w:pPr>
              <w:jc w:val="both"/>
              <w:rPr>
                <w:rFonts w:ascii="Times New Roman" w:hAnsi="Times New Roman" w:cs="Times New Roman"/>
                <w:color w:val="3A7C22" w:themeColor="accent6" w:themeShade="BF"/>
                <w:lang w:val="en-GB"/>
              </w:rPr>
            </w:pPr>
          </w:p>
        </w:tc>
        <w:tc>
          <w:tcPr>
            <w:tcW w:w="5615" w:type="dxa"/>
          </w:tcPr>
          <w:p w14:paraId="23FC1D20"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lang w:val="tr"/>
              </w:rPr>
              <w:t>Karmaşık sorunların ele alınması için çeşitli disiplinlerden ve akademik olmayan kaynaklardan edinilen bilgilerin bir araya getirildiği ve alanlar arası işbirliğine odaklanılan bir yaklaşımı ifade eder. Bu, karmaşık toplumsal sorunları ele almak için farklı akademik disiplinlerden edinilen bilgileri birleştiren ve akademik olmayan paydaşlarla işbirliğini gerektiren bir araştırma yaklaşımıdır.</w:t>
            </w:r>
            <w:r w:rsidRPr="00484F81">
              <w:rPr>
                <w:lang w:val="tr"/>
              </w:rPr>
              <w:t xml:space="preserve"> </w:t>
            </w:r>
            <w:r w:rsidRPr="00484F81">
              <w:rPr>
                <w:rFonts w:ascii="Times New Roman" w:hAnsi="Times New Roman" w:cs="Times New Roman"/>
                <w:lang w:val="tr"/>
              </w:rPr>
              <w:t>Bu yaklaşımda çeşitli disiplinlerin birbiriyle bağlantılı olduğu vurgulanır ve farklı disiplinlerden farklı bakış açıları ve uzmanlıklar bir araya getirilerek bütüncül çözümler üretilmesi hedeflenir. Entegrasyon düzeyi yüksektir ve disiplinler ve paydaşlar işbirliği içinde çalışır.</w:t>
            </w:r>
          </w:p>
        </w:tc>
        <w:tc>
          <w:tcPr>
            <w:tcW w:w="616" w:type="dxa"/>
          </w:tcPr>
          <w:p w14:paraId="19F6173D" w14:textId="77777777" w:rsidR="003F670C" w:rsidRPr="00484F81" w:rsidRDefault="003F670C" w:rsidP="00A655ED">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31, 36</w:t>
            </w:r>
          </w:p>
        </w:tc>
      </w:tr>
      <w:tr w:rsidR="003F670C" w:rsidRPr="00484F81" w14:paraId="03DD65C5" w14:textId="77777777" w:rsidTr="2C6C7817">
        <w:tc>
          <w:tcPr>
            <w:tcW w:w="2062" w:type="dxa"/>
          </w:tcPr>
          <w:p w14:paraId="6CF1A933"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Doğal sermaye</w:t>
            </w:r>
          </w:p>
        </w:tc>
        <w:tc>
          <w:tcPr>
            <w:tcW w:w="1469" w:type="dxa"/>
          </w:tcPr>
          <w:p w14:paraId="0DF4FD12" w14:textId="77777777" w:rsidR="003F670C" w:rsidRPr="00484F81" w:rsidRDefault="003F670C" w:rsidP="00525540">
            <w:pPr>
              <w:jc w:val="both"/>
              <w:rPr>
                <w:rFonts w:ascii="Times New Roman" w:hAnsi="Times New Roman" w:cs="Times New Roman"/>
                <w:lang w:val="en-GB"/>
              </w:rPr>
            </w:pPr>
          </w:p>
        </w:tc>
        <w:tc>
          <w:tcPr>
            <w:tcW w:w="5615" w:type="dxa"/>
          </w:tcPr>
          <w:p w14:paraId="0A9D529D" w14:textId="77777777" w:rsidR="003F670C" w:rsidRPr="00484F81" w:rsidRDefault="003F670C" w:rsidP="00525540">
            <w:pPr>
              <w:jc w:val="both"/>
              <w:rPr>
                <w:rFonts w:ascii="Times New Roman" w:hAnsi="Times New Roman" w:cs="Times New Roman"/>
                <w:lang w:val="tr"/>
              </w:rPr>
            </w:pPr>
            <w:r w:rsidRPr="00484F81">
              <w:rPr>
                <w:rFonts w:ascii="Times New Roman" w:hAnsi="Times New Roman" w:cs="Times New Roman"/>
                <w:lang w:val="tr"/>
              </w:rPr>
              <w:t>Doğanın hem canlı (örn. balık rezervleri, ormanlar) hem de cansız (örn. mineraller, enerji kaynakları) yönlerini ifade eder. Doğal sermaye, hava, su, biyoçeşitlilik ve jeoçeşitlilik de dahil olmak üzere yeryüzündeki ekosistem rezervidir. Bu rezerv, hem doğrudan hem de dolaylı olarak insanlar için değer üreterek ekonomimizi ve toplumumuzu destekler. Sürdürülebilir bir şekilde yönetilen doğal sermayenin insanlara sağladığı mal ve hizmetler arasında temiz hava ve su, iklim değişikliğinin azaltılması ve adaptasyon, gıda, enerji, yaşanacak yerler, ürünler için malzemeler, rekreasyon ve tehlikelerden korunma gibi çeşitli sosyal ve çevresel faydalar yer almaktadır.</w:t>
            </w:r>
          </w:p>
        </w:tc>
        <w:tc>
          <w:tcPr>
            <w:tcW w:w="616" w:type="dxa"/>
          </w:tcPr>
          <w:p w14:paraId="507717EB"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1, 2</w:t>
            </w:r>
          </w:p>
        </w:tc>
      </w:tr>
      <w:tr w:rsidR="003F670C" w:rsidRPr="00484F81" w14:paraId="5B74033D" w14:textId="77777777" w:rsidTr="2C6C7817">
        <w:tc>
          <w:tcPr>
            <w:tcW w:w="2062" w:type="dxa"/>
          </w:tcPr>
          <w:p w14:paraId="5F95F069" w14:textId="77777777" w:rsidR="003F670C" w:rsidRPr="00484F81" w:rsidRDefault="003F670C" w:rsidP="002A67F8">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Drenaj (doğal)</w:t>
            </w:r>
          </w:p>
        </w:tc>
        <w:tc>
          <w:tcPr>
            <w:tcW w:w="1469" w:type="dxa"/>
          </w:tcPr>
          <w:p w14:paraId="1634CEAE" w14:textId="77777777" w:rsidR="003F670C" w:rsidRPr="00484F81" w:rsidRDefault="003F670C" w:rsidP="002A67F8">
            <w:pPr>
              <w:jc w:val="both"/>
              <w:rPr>
                <w:rFonts w:ascii="Times New Roman" w:hAnsi="Times New Roman" w:cs="Times New Roman"/>
                <w:lang w:val="en-GB"/>
              </w:rPr>
            </w:pPr>
          </w:p>
        </w:tc>
        <w:tc>
          <w:tcPr>
            <w:tcW w:w="5615" w:type="dxa"/>
          </w:tcPr>
          <w:p w14:paraId="02E99739" w14:textId="77777777" w:rsidR="003F670C" w:rsidRPr="00484F81" w:rsidRDefault="003F670C" w:rsidP="002A67F8">
            <w:pPr>
              <w:jc w:val="both"/>
              <w:rPr>
                <w:rFonts w:ascii="Times New Roman" w:hAnsi="Times New Roman" w:cs="Times New Roman"/>
                <w:lang w:val="en-GB"/>
              </w:rPr>
            </w:pPr>
          </w:p>
          <w:p w14:paraId="565B070D" w14:textId="77777777" w:rsidR="003F670C" w:rsidRPr="00484F81" w:rsidRDefault="003F670C" w:rsidP="002A67F8">
            <w:pPr>
              <w:jc w:val="both"/>
              <w:rPr>
                <w:rFonts w:ascii="Times New Roman" w:hAnsi="Times New Roman" w:cs="Times New Roman"/>
                <w:lang w:val="en-GB"/>
              </w:rPr>
            </w:pPr>
            <w:r w:rsidRPr="00484F81">
              <w:rPr>
                <w:rFonts w:ascii="Times New Roman" w:hAnsi="Times New Roman" w:cs="Times New Roman"/>
                <w:lang w:val="tr"/>
              </w:rPr>
              <w:t>Genellikle bir drenaj veya hendek sistemiyle yapılan drenaj gibi yapay drenajın aksine toprak profilinin süzülme yoluyla fazla suyu doğal olarak boşaltma yeteneğini ifade eder.</w:t>
            </w:r>
          </w:p>
        </w:tc>
        <w:tc>
          <w:tcPr>
            <w:tcW w:w="616" w:type="dxa"/>
          </w:tcPr>
          <w:p w14:paraId="7D2A510B"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4</w:t>
            </w:r>
          </w:p>
        </w:tc>
      </w:tr>
      <w:tr w:rsidR="003F670C" w:rsidRPr="00484F81" w14:paraId="15C132E3" w14:textId="77777777" w:rsidTr="2C6C7817">
        <w:tc>
          <w:tcPr>
            <w:tcW w:w="2062" w:type="dxa"/>
          </w:tcPr>
          <w:p w14:paraId="0CAD18E6"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Ekilebilir arazi</w:t>
            </w:r>
          </w:p>
        </w:tc>
        <w:tc>
          <w:tcPr>
            <w:tcW w:w="1469" w:type="dxa"/>
          </w:tcPr>
          <w:p w14:paraId="67A0EBF2" w14:textId="77777777" w:rsidR="003F670C" w:rsidRPr="00484F81" w:rsidRDefault="003F670C" w:rsidP="002A67F8">
            <w:pPr>
              <w:jc w:val="both"/>
              <w:rPr>
                <w:rFonts w:ascii="Times New Roman" w:hAnsi="Times New Roman" w:cs="Times New Roman"/>
                <w:lang w:val="en-GB"/>
              </w:rPr>
            </w:pPr>
          </w:p>
        </w:tc>
        <w:tc>
          <w:tcPr>
            <w:tcW w:w="5615" w:type="dxa"/>
          </w:tcPr>
          <w:p w14:paraId="23888C31" w14:textId="77777777" w:rsidR="003F670C" w:rsidRPr="00484F81" w:rsidRDefault="003F670C" w:rsidP="002A67F8">
            <w:pPr>
              <w:jc w:val="both"/>
              <w:rPr>
                <w:rFonts w:ascii="Times New Roman" w:hAnsi="Times New Roman" w:cs="Times New Roman"/>
                <w:lang w:val="tr"/>
              </w:rPr>
            </w:pPr>
            <w:r w:rsidRPr="00484F81">
              <w:rPr>
                <w:rFonts w:ascii="Times New Roman" w:hAnsi="Times New Roman" w:cs="Times New Roman"/>
                <w:lang w:val="tr"/>
              </w:rPr>
              <w:t>Genellikle bir ürün rotasyonu sistemi kapsamında düzenli olarak işlenen (sürülen veya işlenen) arazileri ifade eder. Ekinleri, çayırları ve meraları içeren ve bitkisel üretim için uygun olan ancak şu anda nadasa bırakılan toplam alandır.</w:t>
            </w:r>
          </w:p>
        </w:tc>
        <w:tc>
          <w:tcPr>
            <w:tcW w:w="616" w:type="dxa"/>
          </w:tcPr>
          <w:p w14:paraId="4876EF25"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1</w:t>
            </w:r>
          </w:p>
        </w:tc>
      </w:tr>
      <w:tr w:rsidR="003F670C" w:rsidRPr="00484F81" w14:paraId="1A280D9B" w14:textId="77777777" w:rsidTr="2C6C7817">
        <w:tc>
          <w:tcPr>
            <w:tcW w:w="2062" w:type="dxa"/>
          </w:tcPr>
          <w:p w14:paraId="2FC9FD24"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Ekosistem hizmetleri</w:t>
            </w:r>
          </w:p>
        </w:tc>
        <w:tc>
          <w:tcPr>
            <w:tcW w:w="1469" w:type="dxa"/>
          </w:tcPr>
          <w:p w14:paraId="73011D46" w14:textId="77777777" w:rsidR="003F670C" w:rsidRPr="00484F81" w:rsidRDefault="003F670C" w:rsidP="002A67F8">
            <w:pPr>
              <w:jc w:val="both"/>
              <w:rPr>
                <w:rFonts w:ascii="Times New Roman" w:hAnsi="Times New Roman" w:cs="Times New Roman"/>
                <w:lang w:val="en-GB"/>
              </w:rPr>
            </w:pPr>
          </w:p>
        </w:tc>
        <w:tc>
          <w:tcPr>
            <w:tcW w:w="5615" w:type="dxa"/>
          </w:tcPr>
          <w:p w14:paraId="0CCD0669" w14:textId="77777777" w:rsidR="003F670C" w:rsidRPr="00484F81" w:rsidRDefault="003F670C" w:rsidP="002A67F8">
            <w:pPr>
              <w:jc w:val="both"/>
              <w:rPr>
                <w:rFonts w:ascii="Times New Roman" w:hAnsi="Times New Roman" w:cs="Times New Roman"/>
                <w:lang w:val="en-GB"/>
              </w:rPr>
            </w:pPr>
            <w:r w:rsidRPr="00484F81">
              <w:rPr>
                <w:rFonts w:ascii="Times New Roman" w:hAnsi="Times New Roman" w:cs="Times New Roman"/>
                <w:lang w:val="tr"/>
              </w:rPr>
              <w:t>Ekosistemlerin ekonomik ve diğer beşeri faaliyetlerde elde edilen faydalara olan katkılarını ifade eder. Ekosistem hizmetleri genel olarak dört kategori altında toplanabilir:</w:t>
            </w:r>
          </w:p>
          <w:p w14:paraId="307BA6EA" w14:textId="77777777" w:rsidR="003F670C" w:rsidRPr="00484F81" w:rsidRDefault="003F670C" w:rsidP="00373999">
            <w:pPr>
              <w:pStyle w:val="ListParagraph"/>
              <w:numPr>
                <w:ilvl w:val="0"/>
                <w:numId w:val="4"/>
              </w:numPr>
              <w:ind w:left="360"/>
              <w:jc w:val="both"/>
              <w:rPr>
                <w:rFonts w:ascii="Times New Roman" w:hAnsi="Times New Roman" w:cs="Times New Roman"/>
                <w:lang w:val="en-GB"/>
              </w:rPr>
            </w:pPr>
            <w:r w:rsidRPr="00484F81">
              <w:rPr>
                <w:rFonts w:ascii="Times New Roman" w:hAnsi="Times New Roman" w:cs="Times New Roman"/>
                <w:lang w:val="tr"/>
              </w:rPr>
              <w:lastRenderedPageBreak/>
              <w:t xml:space="preserve">Bir ekosistem tarafından veya ekosistem içinde üretilen madde ve enerji katkılarını ifade eden tedarik hizmetleri (örneğin farmasötik özelliklere sahip bitkiler). </w:t>
            </w:r>
          </w:p>
          <w:p w14:paraId="12BF1E66" w14:textId="77777777" w:rsidR="003F670C" w:rsidRPr="00484F81" w:rsidRDefault="003F670C" w:rsidP="00CB5EC8">
            <w:pPr>
              <w:pStyle w:val="ListParagraph"/>
              <w:numPr>
                <w:ilvl w:val="0"/>
                <w:numId w:val="4"/>
              </w:numPr>
              <w:ind w:left="360"/>
              <w:jc w:val="both"/>
              <w:rPr>
                <w:rFonts w:ascii="Times New Roman" w:hAnsi="Times New Roman" w:cs="Times New Roman"/>
                <w:lang w:val="en-GB"/>
              </w:rPr>
            </w:pPr>
            <w:r w:rsidRPr="00484F81">
              <w:rPr>
                <w:rFonts w:ascii="Times New Roman" w:hAnsi="Times New Roman" w:cs="Times New Roman"/>
                <w:lang w:val="tr"/>
              </w:rPr>
              <w:t xml:space="preserve">Ekosistemlerin iklimi, hidrolojik ve biyokimyasal döngüleri, yer yüzeyi süreçlerini ve çeşitli biyolojik süreçleri düzenleme kapasitesini ifade eden düzenleyici hizmetler. </w:t>
            </w:r>
          </w:p>
          <w:p w14:paraId="48FDFC28" w14:textId="77777777" w:rsidR="003F670C" w:rsidRPr="00484F81" w:rsidRDefault="003F670C" w:rsidP="00CB5EC8">
            <w:pPr>
              <w:pStyle w:val="ListParagraph"/>
              <w:numPr>
                <w:ilvl w:val="0"/>
                <w:numId w:val="4"/>
              </w:numPr>
              <w:ind w:left="360"/>
              <w:jc w:val="both"/>
              <w:rPr>
                <w:rFonts w:ascii="Times New Roman" w:hAnsi="Times New Roman" w:cs="Times New Roman"/>
                <w:lang w:val="en-GB"/>
              </w:rPr>
            </w:pPr>
            <w:r w:rsidRPr="00484F81">
              <w:rPr>
                <w:rFonts w:ascii="Times New Roman" w:hAnsi="Times New Roman" w:cs="Times New Roman"/>
                <w:lang w:val="tr"/>
              </w:rPr>
              <w:t>Fiziksel ortamlardan, konumlardan veya durumlardan üretilen ve insanların rekreasyon, bilgi geliştirme, dinlenme ve spiritüel meditasyon yoluyla ekosistemlerden elde ettiği entelektüel ve sembolik faydaların ortaya çıkmasını sağlayan kültürel hizmetler.</w:t>
            </w:r>
          </w:p>
          <w:p w14:paraId="52BF60D9" w14:textId="77777777" w:rsidR="003F670C" w:rsidRPr="00484F81" w:rsidRDefault="003F670C" w:rsidP="00373999">
            <w:pPr>
              <w:pStyle w:val="ListParagraph"/>
              <w:numPr>
                <w:ilvl w:val="0"/>
                <w:numId w:val="4"/>
              </w:numPr>
              <w:ind w:left="360"/>
              <w:jc w:val="both"/>
              <w:rPr>
                <w:rFonts w:ascii="Times New Roman" w:hAnsi="Times New Roman" w:cs="Times New Roman"/>
                <w:lang w:val="tr"/>
              </w:rPr>
            </w:pPr>
            <w:r w:rsidRPr="00484F81">
              <w:rPr>
                <w:rFonts w:ascii="Times New Roman" w:hAnsi="Times New Roman" w:cs="Times New Roman"/>
                <w:lang w:val="tr"/>
              </w:rPr>
              <w:t>Yeryüzündeki yaşam koşullarını koruyan ve diğer tüm ekosistem hizmetlerinin (tedarik, düzenleme ve kültürel hizmetler) sağlanmasını mümkün kılan temel doğal süreçleri ifade eden destekleyici hizmetler. Destekleyici hizmetler arasında toprak oluşumu, besin döngüsü, temel üretim, su döngüsü ve habitat sağlanması yer alır.</w:t>
            </w:r>
          </w:p>
        </w:tc>
        <w:tc>
          <w:tcPr>
            <w:tcW w:w="616" w:type="dxa"/>
          </w:tcPr>
          <w:p w14:paraId="12F34844"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lastRenderedPageBreak/>
              <w:t>1, 43</w:t>
            </w:r>
          </w:p>
        </w:tc>
      </w:tr>
      <w:tr w:rsidR="003F670C" w:rsidRPr="00484F81" w14:paraId="523BFAD0" w14:textId="77777777" w:rsidTr="2C6C7817">
        <w:tc>
          <w:tcPr>
            <w:tcW w:w="2062" w:type="dxa"/>
          </w:tcPr>
          <w:p w14:paraId="0D9EAFEE" w14:textId="77777777" w:rsidR="003F670C" w:rsidRPr="00484F81" w:rsidRDefault="003F670C" w:rsidP="002A67F8">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Elektriksel İletkenlik</w:t>
            </w:r>
          </w:p>
        </w:tc>
        <w:tc>
          <w:tcPr>
            <w:tcW w:w="1469" w:type="dxa"/>
          </w:tcPr>
          <w:p w14:paraId="1BCFEEEB" w14:textId="77777777" w:rsidR="003F670C" w:rsidRPr="00484F81" w:rsidRDefault="003F670C" w:rsidP="002A67F8">
            <w:pPr>
              <w:jc w:val="both"/>
              <w:rPr>
                <w:rFonts w:ascii="Times New Roman" w:hAnsi="Times New Roman" w:cs="Times New Roman"/>
                <w:lang w:val="en-GB"/>
              </w:rPr>
            </w:pPr>
          </w:p>
        </w:tc>
        <w:tc>
          <w:tcPr>
            <w:tcW w:w="5615" w:type="dxa"/>
          </w:tcPr>
          <w:p w14:paraId="130D5C5B" w14:textId="77777777" w:rsidR="003F670C" w:rsidRPr="00484F81" w:rsidRDefault="003F670C" w:rsidP="002A67F8">
            <w:pPr>
              <w:jc w:val="both"/>
              <w:rPr>
                <w:rFonts w:ascii="Times New Roman" w:hAnsi="Times New Roman" w:cs="Times New Roman"/>
                <w:lang w:val="tr"/>
              </w:rPr>
            </w:pPr>
            <w:r w:rsidRPr="00484F81">
              <w:rPr>
                <w:rFonts w:ascii="Times New Roman" w:hAnsi="Times New Roman" w:cs="Times New Roman"/>
                <w:lang w:val="tr"/>
              </w:rPr>
              <w:t>Bir maddenin elektrik yükünü taşıyabilme yeteneğini ifade eder. Toprağın tuzluluğunun bir ölçüsü olarak ve ürünlere ilişkin pratik sonuçların tahmin edilmesi için kullanılır. Belirli bir toprak-su oranında (genellikle 1:5 veya toprak çözeltisi yerine doymuş ekstrakt) bir toprak süspansiyonunun elektriksel iletkenliği, m başına Siemen cinsinden ifade edilir.</w:t>
            </w:r>
          </w:p>
        </w:tc>
        <w:tc>
          <w:tcPr>
            <w:tcW w:w="616" w:type="dxa"/>
          </w:tcPr>
          <w:p w14:paraId="029CBE44"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4</w:t>
            </w:r>
          </w:p>
        </w:tc>
      </w:tr>
      <w:tr w:rsidR="003F670C" w:rsidRPr="00484F81" w14:paraId="1543BD13" w14:textId="77777777" w:rsidTr="2C6C7817">
        <w:tc>
          <w:tcPr>
            <w:tcW w:w="2062" w:type="dxa"/>
          </w:tcPr>
          <w:p w14:paraId="6211DBAC" w14:textId="77777777" w:rsidR="003F670C" w:rsidRPr="00484F81" w:rsidRDefault="003F670C" w:rsidP="00A655ED">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Erişilebilirlik</w:t>
            </w:r>
          </w:p>
        </w:tc>
        <w:tc>
          <w:tcPr>
            <w:tcW w:w="1469" w:type="dxa"/>
          </w:tcPr>
          <w:p w14:paraId="62254BB8" w14:textId="77777777" w:rsidR="003F670C" w:rsidRPr="00484F81" w:rsidRDefault="003F670C" w:rsidP="00A655ED">
            <w:pPr>
              <w:jc w:val="both"/>
              <w:rPr>
                <w:rFonts w:ascii="Times New Roman" w:hAnsi="Times New Roman" w:cs="Times New Roman"/>
                <w:lang w:val="en-GB"/>
              </w:rPr>
            </w:pPr>
          </w:p>
        </w:tc>
        <w:tc>
          <w:tcPr>
            <w:tcW w:w="5615" w:type="dxa"/>
          </w:tcPr>
          <w:p w14:paraId="4BD6C3CF"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lang w:val="tr"/>
              </w:rPr>
              <w:t>Engelli bireylere yönelik ürün, cihaz, hizmet veya ortamların tasarımını ifade eder. Bireylerin fiziksel alanlar, dijital içerik ve bilişim hizmetleri de dahil olmak üzere çeşitli kaynaklara erişebilme ve bunlardan yararlanabilme kolaylığı ile ilgili bir kavramdır. Erişilebilirlik, yetenekleri veya engelleri ne olursa olsun tüm bireylerin topluma katılmak için eşit fırsatlara sahip olmalarını sağlamayı amaçlar. Erişilebilirlik daha geniş anlamda ortamların ve hizmetlerin farklı ihtiyaçları olan kişiler tarafından kullanılabilirliği ile ilgilidir. Bu kavram mimarlık, web tasarımı, eğitim ve kamu politikaları gibi çeşitli alanlarda büyük öneme sahiptir.</w:t>
            </w:r>
          </w:p>
        </w:tc>
        <w:tc>
          <w:tcPr>
            <w:tcW w:w="616" w:type="dxa"/>
          </w:tcPr>
          <w:p w14:paraId="0922C09B" w14:textId="77777777" w:rsidR="003F670C" w:rsidRPr="00484F81" w:rsidRDefault="003F670C" w:rsidP="00A655ED">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30</w:t>
            </w:r>
          </w:p>
        </w:tc>
      </w:tr>
      <w:tr w:rsidR="003F670C" w:rsidRPr="00484F81" w14:paraId="19BEC501" w14:textId="77777777" w:rsidTr="2C6C7817">
        <w:tc>
          <w:tcPr>
            <w:tcW w:w="2062" w:type="dxa"/>
          </w:tcPr>
          <w:p w14:paraId="62B92F4F" w14:textId="77777777" w:rsidR="003F670C" w:rsidRPr="00484F81" w:rsidRDefault="003F670C" w:rsidP="00A655ED">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Eser elementler</w:t>
            </w:r>
          </w:p>
        </w:tc>
        <w:tc>
          <w:tcPr>
            <w:tcW w:w="1469" w:type="dxa"/>
          </w:tcPr>
          <w:p w14:paraId="7558C662" w14:textId="77777777" w:rsidR="003F670C" w:rsidRPr="00484F81" w:rsidRDefault="003F670C" w:rsidP="00A655ED">
            <w:pPr>
              <w:jc w:val="both"/>
              <w:rPr>
                <w:rFonts w:ascii="Times New Roman" w:hAnsi="Times New Roman" w:cs="Times New Roman"/>
                <w:lang w:val="en-GB"/>
              </w:rPr>
            </w:pPr>
          </w:p>
        </w:tc>
        <w:tc>
          <w:tcPr>
            <w:tcW w:w="5615" w:type="dxa"/>
          </w:tcPr>
          <w:p w14:paraId="69BF91E3"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lang w:val="tr"/>
              </w:rPr>
              <w:t>Bunlar, geçmişteki olaylara veya koşullara dair kanıt sağlayan göstergeler veya kalıntılar olarak kabul edilir. Bunlar, geçmişteki arazi kullanımını gösteren toprak örnekleri gibi çevrede bırakılan fiziksel izleri veya kirlilik seviyeleri veya ekolojik değişiklikler hakkında bilgi veren kimyasal izleri içerebilir. Bunlar, belirli bir ortamda çok düşük miktarlarda bulunan, genellikle milyonda 100 parçadan (ppm) veya 100 mg/kg'dan daha az miktardaki elementlerdir. Bu elementler, yoğunluklarına bağlı olarak organizmalar için gerekli veya toksik özellikte olabilirler. Arsenik (As), kadmiyum (Cd) ve kurşun (Pb) gibi elementler, potansiyel çevresel ve sağlık etkileri nedeniyle genellikle eser elementler olarak değerlendirilir.</w:t>
            </w:r>
          </w:p>
        </w:tc>
        <w:tc>
          <w:tcPr>
            <w:tcW w:w="616" w:type="dxa"/>
          </w:tcPr>
          <w:p w14:paraId="754CAE11" w14:textId="77777777" w:rsidR="003F670C" w:rsidRPr="00484F81" w:rsidRDefault="003F670C" w:rsidP="00A655ED">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34</w:t>
            </w:r>
          </w:p>
        </w:tc>
      </w:tr>
      <w:tr w:rsidR="003F670C" w:rsidRPr="00484F81" w14:paraId="7BDFF944" w14:textId="77777777" w:rsidTr="2C6C7817">
        <w:tc>
          <w:tcPr>
            <w:tcW w:w="2062" w:type="dxa"/>
          </w:tcPr>
          <w:p w14:paraId="46987089"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Esneklik</w:t>
            </w:r>
          </w:p>
        </w:tc>
        <w:tc>
          <w:tcPr>
            <w:tcW w:w="1469" w:type="dxa"/>
          </w:tcPr>
          <w:p w14:paraId="612201F2" w14:textId="77777777" w:rsidR="003F670C" w:rsidRPr="00484F81" w:rsidRDefault="003F670C" w:rsidP="00525540">
            <w:pPr>
              <w:jc w:val="both"/>
              <w:rPr>
                <w:rFonts w:ascii="Times New Roman" w:hAnsi="Times New Roman" w:cs="Times New Roman"/>
                <w:lang w:val="en-GB"/>
              </w:rPr>
            </w:pPr>
          </w:p>
        </w:tc>
        <w:tc>
          <w:tcPr>
            <w:tcW w:w="5615" w:type="dxa"/>
          </w:tcPr>
          <w:p w14:paraId="70B19A5F" w14:textId="77777777" w:rsidR="003F670C" w:rsidRPr="00484F81" w:rsidRDefault="003F670C" w:rsidP="00525540">
            <w:pPr>
              <w:jc w:val="both"/>
              <w:rPr>
                <w:rFonts w:ascii="Times New Roman" w:hAnsi="Times New Roman" w:cs="Times New Roman"/>
                <w:lang w:val="en-GB"/>
              </w:rPr>
            </w:pPr>
            <w:r w:rsidRPr="00484F81">
              <w:rPr>
                <w:rFonts w:ascii="Times New Roman" w:hAnsi="Times New Roman" w:cs="Times New Roman"/>
                <w:lang w:val="tr"/>
              </w:rPr>
              <w:t>Bir sistemin ve bileşenlerinin, temel yapı ve işlevinin korunması, restorasyonu veya iyileştirilmesini sağlamak da dahil tehlikeli bir olayın etkilerini zamanında ve etkili bir şekilde öngörme, özümseme, bunlara uyum sağlama veya bunları telafi etme yeteneğini ifade eder.</w:t>
            </w:r>
          </w:p>
        </w:tc>
        <w:tc>
          <w:tcPr>
            <w:tcW w:w="616" w:type="dxa"/>
          </w:tcPr>
          <w:p w14:paraId="687C1935"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1</w:t>
            </w:r>
          </w:p>
        </w:tc>
      </w:tr>
      <w:tr w:rsidR="003F670C" w:rsidRPr="00484F81" w14:paraId="69507C31" w14:textId="77777777" w:rsidTr="2C6C7817">
        <w:tc>
          <w:tcPr>
            <w:tcW w:w="2062" w:type="dxa"/>
          </w:tcPr>
          <w:p w14:paraId="5A6A9EF0"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Evapotranspirasyon</w:t>
            </w:r>
          </w:p>
        </w:tc>
        <w:tc>
          <w:tcPr>
            <w:tcW w:w="1469" w:type="dxa"/>
          </w:tcPr>
          <w:p w14:paraId="47603321" w14:textId="77777777" w:rsidR="003F670C" w:rsidRPr="00484F81" w:rsidRDefault="003F670C" w:rsidP="002A67F8">
            <w:pPr>
              <w:jc w:val="both"/>
              <w:rPr>
                <w:rFonts w:ascii="Times New Roman" w:hAnsi="Times New Roman" w:cs="Times New Roman"/>
                <w:color w:val="3A7C22" w:themeColor="accent6" w:themeShade="BF"/>
                <w:lang w:val="en-GB"/>
              </w:rPr>
            </w:pPr>
          </w:p>
        </w:tc>
        <w:tc>
          <w:tcPr>
            <w:tcW w:w="5615" w:type="dxa"/>
          </w:tcPr>
          <w:p w14:paraId="50965FF0" w14:textId="77777777" w:rsidR="003F670C" w:rsidRPr="00484F81" w:rsidRDefault="003F670C" w:rsidP="002A67F8">
            <w:pPr>
              <w:jc w:val="both"/>
              <w:rPr>
                <w:rFonts w:ascii="Times New Roman" w:hAnsi="Times New Roman" w:cs="Times New Roman"/>
                <w:lang w:val="tr"/>
              </w:rPr>
            </w:pPr>
            <w:r w:rsidRPr="00484F81">
              <w:rPr>
                <w:rFonts w:ascii="Times New Roman" w:hAnsi="Times New Roman" w:cs="Times New Roman"/>
                <w:lang w:val="tr"/>
              </w:rPr>
              <w:t xml:space="preserve">Suyun bitki örtüsünden terleme ve toprak ve bitki yüzeylerinden buharlaşma yoluyla sıvı halden buhar (gaz) </w:t>
            </w:r>
            <w:r w:rsidRPr="00484F81">
              <w:rPr>
                <w:rFonts w:ascii="Times New Roman" w:hAnsi="Times New Roman" w:cs="Times New Roman"/>
                <w:lang w:val="tr"/>
              </w:rPr>
              <w:lastRenderedPageBreak/>
              <w:t>haline geçme sürecini ifade eder. Evapotranspirasyon oranı genellikle mm gün-¹ cinsinden ifade edilir; sınırsız su mevcudiyeti koşullarında potansiyel evapotranspirasyon ile sınırlı mevcudiyet koşullarında fiili evapotranspirasyon arasında bir ayrım yapılabilir.</w:t>
            </w:r>
          </w:p>
        </w:tc>
        <w:tc>
          <w:tcPr>
            <w:tcW w:w="616" w:type="dxa"/>
          </w:tcPr>
          <w:p w14:paraId="33EB6A0E"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lastRenderedPageBreak/>
              <w:t>4</w:t>
            </w:r>
          </w:p>
        </w:tc>
      </w:tr>
      <w:tr w:rsidR="003F670C" w:rsidRPr="00484F81" w14:paraId="078B9A58" w14:textId="77777777" w:rsidTr="2C6C7817">
        <w:tc>
          <w:tcPr>
            <w:tcW w:w="2062" w:type="dxa"/>
          </w:tcPr>
          <w:p w14:paraId="4FB94D39" w14:textId="77777777" w:rsidR="003F670C" w:rsidRPr="00484F81" w:rsidRDefault="003F670C" w:rsidP="002A67F8">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Geleneksel tarım</w:t>
            </w:r>
          </w:p>
        </w:tc>
        <w:tc>
          <w:tcPr>
            <w:tcW w:w="1469" w:type="dxa"/>
          </w:tcPr>
          <w:p w14:paraId="12D4735A" w14:textId="77777777" w:rsidR="003F670C" w:rsidRPr="00484F81" w:rsidRDefault="003F670C" w:rsidP="002A67F8">
            <w:pPr>
              <w:jc w:val="both"/>
              <w:rPr>
                <w:rFonts w:ascii="Times New Roman" w:hAnsi="Times New Roman" w:cs="Times New Roman"/>
                <w:lang w:val="en-GB"/>
              </w:rPr>
            </w:pPr>
          </w:p>
        </w:tc>
        <w:tc>
          <w:tcPr>
            <w:tcW w:w="5615" w:type="dxa"/>
          </w:tcPr>
          <w:p w14:paraId="7B5A0FE5" w14:textId="77777777" w:rsidR="003F670C" w:rsidRPr="00484F81" w:rsidRDefault="003F670C" w:rsidP="002A67F8">
            <w:pPr>
              <w:jc w:val="both"/>
              <w:rPr>
                <w:rFonts w:ascii="Times New Roman" w:hAnsi="Times New Roman" w:cs="Times New Roman"/>
                <w:lang w:val="tr"/>
              </w:rPr>
            </w:pPr>
            <w:r w:rsidRPr="00484F81">
              <w:rPr>
                <w:rFonts w:ascii="Times New Roman" w:hAnsi="Times New Roman" w:cs="Times New Roman"/>
                <w:lang w:val="tr"/>
              </w:rPr>
              <w:t>Ürün verimini en üst düzeye çıkarmak için sentetik kimyasal gübreler, pestisitler ve herbisitlerin (ve bazen genetiği değiştirilmiş organizmaların da) kullanımını içeren ve bu tür çiftliklerin kaynakların döngüsünü teşvik eden, ekolojik dengeyi destekleyen ve biyolojik çeşitliliği koruyan kültürel (ürün rotasyonu, atmosferik azotu sabitleyen ürünlerin dahil edilmesi), biyolojik ve mekanik uygulamalara daha az bağımlı olmasını sağlayan bir tarım yöntemini ifade eder. Genellikle operasyonların kolaylaştırılması ve işgücü maliyetlerinin azaltılması için büyük ölçekli monokültür (geniş bir alanda tek bir ürünün yetiştirilmesi) ve mekanize uygulamalar içerir.</w:t>
            </w:r>
          </w:p>
        </w:tc>
        <w:tc>
          <w:tcPr>
            <w:tcW w:w="616" w:type="dxa"/>
          </w:tcPr>
          <w:p w14:paraId="4920B9FA"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4, 44</w:t>
            </w:r>
          </w:p>
        </w:tc>
      </w:tr>
      <w:tr w:rsidR="003F670C" w:rsidRPr="00484F81" w14:paraId="1FCCF0A4" w14:textId="77777777" w:rsidTr="2C6C7817">
        <w:tc>
          <w:tcPr>
            <w:tcW w:w="2062" w:type="dxa"/>
          </w:tcPr>
          <w:p w14:paraId="11ACD260" w14:textId="77777777" w:rsidR="003F670C" w:rsidRPr="00484F81" w:rsidRDefault="003F670C" w:rsidP="00A655ED">
            <w:pPr>
              <w:rPr>
                <w:rFonts w:ascii="Times New Roman" w:hAnsi="Times New Roman" w:cs="Times New Roman"/>
                <w:b/>
                <w:color w:val="BF4E14" w:themeColor="accent2" w:themeShade="BF"/>
                <w:lang w:val="en-GB"/>
              </w:rPr>
            </w:pPr>
            <w:r w:rsidRPr="00484F81">
              <w:rPr>
                <w:rFonts w:ascii="Times New Roman" w:hAnsi="Times New Roman" w:cs="Times New Roman"/>
                <w:b/>
                <w:color w:val="3A7C22" w:themeColor="accent6" w:themeShade="BF"/>
                <w:lang w:val="tr"/>
              </w:rPr>
              <w:t>Gezegen sağlığı</w:t>
            </w:r>
          </w:p>
        </w:tc>
        <w:tc>
          <w:tcPr>
            <w:tcW w:w="1469" w:type="dxa"/>
          </w:tcPr>
          <w:p w14:paraId="2E0F6D64" w14:textId="77777777" w:rsidR="003F670C" w:rsidRPr="00484F81" w:rsidRDefault="003F670C" w:rsidP="00A655ED">
            <w:pPr>
              <w:jc w:val="both"/>
              <w:rPr>
                <w:rFonts w:ascii="Times New Roman" w:hAnsi="Times New Roman" w:cs="Times New Roman"/>
                <w:lang w:val="en-GB"/>
              </w:rPr>
            </w:pPr>
          </w:p>
        </w:tc>
        <w:tc>
          <w:tcPr>
            <w:tcW w:w="5615" w:type="dxa"/>
          </w:tcPr>
          <w:p w14:paraId="20E457DE"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lang w:val="tr"/>
              </w:rPr>
              <w:t>Toprak, biyokütle üretimi, karbon havuzunu düzenleme, küresel biyolojik çeşitliliğin %25'ine yaşam alanı sağlama, karasal sistemlerin bağımlı olduğu besin maddelerini döngüye sokma ve su döngüsü de dahil olmak üzere gezegen sağlığıyla ilgili birçok önemli sürece katkıda bulunur. Toprağın bozulması gezegen sağlığına doğrudan zarar verir ve toprağın gelecek insan nesillerinin sağlığını destekleme yeteneğini azaltır.</w:t>
            </w:r>
          </w:p>
        </w:tc>
        <w:tc>
          <w:tcPr>
            <w:tcW w:w="616" w:type="dxa"/>
          </w:tcPr>
          <w:p w14:paraId="730B9E83" w14:textId="77777777" w:rsidR="003F670C" w:rsidRPr="00484F81" w:rsidRDefault="003F670C" w:rsidP="00A655ED">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12</w:t>
            </w:r>
          </w:p>
        </w:tc>
      </w:tr>
      <w:tr w:rsidR="003F670C" w:rsidRPr="00484F81" w14:paraId="2E655129" w14:textId="77777777" w:rsidTr="2C6C7817">
        <w:tc>
          <w:tcPr>
            <w:tcW w:w="2062" w:type="dxa"/>
          </w:tcPr>
          <w:p w14:paraId="14389088" w14:textId="77777777" w:rsidR="003F670C" w:rsidRPr="00484F81" w:rsidRDefault="003F670C" w:rsidP="002A67F8">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Gübre yenileme değeri</w:t>
            </w:r>
          </w:p>
        </w:tc>
        <w:tc>
          <w:tcPr>
            <w:tcW w:w="1469" w:type="dxa"/>
          </w:tcPr>
          <w:p w14:paraId="590D79C9" w14:textId="77777777" w:rsidR="003F670C" w:rsidRPr="00484F81" w:rsidRDefault="003F670C" w:rsidP="00525540">
            <w:pPr>
              <w:jc w:val="both"/>
              <w:rPr>
                <w:rFonts w:ascii="Times New Roman" w:hAnsi="Times New Roman" w:cs="Times New Roman"/>
                <w:lang w:val="en-GB"/>
              </w:rPr>
            </w:pPr>
          </w:p>
        </w:tc>
        <w:tc>
          <w:tcPr>
            <w:tcW w:w="5615" w:type="dxa"/>
          </w:tcPr>
          <w:p w14:paraId="7505FFB0" w14:textId="77777777" w:rsidR="003F670C" w:rsidRPr="00484F81" w:rsidRDefault="003F670C" w:rsidP="00525540">
            <w:pPr>
              <w:jc w:val="both"/>
              <w:rPr>
                <w:rFonts w:ascii="Times New Roman" w:hAnsi="Times New Roman" w:cs="Times New Roman"/>
                <w:lang w:val="tr"/>
              </w:rPr>
            </w:pPr>
            <w:r w:rsidRPr="00484F81">
              <w:rPr>
                <w:rFonts w:ascii="Times New Roman" w:hAnsi="Times New Roman" w:cs="Times New Roman"/>
                <w:lang w:val="tr"/>
              </w:rPr>
              <w:t>Kg/100kg cinsinden ifade edilen ve mineral gübrelerin sağladığı besin miktarına eşdeğer olan 100 kilogram organik besin kaynağının (gübre, kompost veya mahsul artığı gibi) sağladığı besin miktarının (örn. azot, fosfor, potasyum) ölçüsünü ifade eder.</w:t>
            </w:r>
            <w:r w:rsidRPr="00484F81">
              <w:rPr>
                <w:lang w:val="tr"/>
              </w:rPr>
              <w:t xml:space="preserve"> Örneğin </w:t>
            </w:r>
            <w:r w:rsidRPr="00484F81">
              <w:rPr>
                <w:rFonts w:ascii="Times New Roman" w:hAnsi="Times New Roman" w:cs="Times New Roman"/>
                <w:lang w:val="tr"/>
              </w:rPr>
              <w:t>100 kg'lık gübre, fosfor (P) açısından 3 kg'lık gübre yenileme değerine sahipse 3 kg'lık mineral fosforlu gübre ile aynı miktarda kullanılabilir fosfor sağlar.</w:t>
            </w:r>
          </w:p>
          <w:p w14:paraId="022F03D1" w14:textId="77777777" w:rsidR="003F670C" w:rsidRPr="00484F81" w:rsidRDefault="003F670C" w:rsidP="00525540">
            <w:pPr>
              <w:jc w:val="both"/>
              <w:rPr>
                <w:rFonts w:ascii="Times New Roman" w:hAnsi="Times New Roman" w:cs="Times New Roman"/>
                <w:lang w:val="tr"/>
              </w:rPr>
            </w:pPr>
            <w:r w:rsidRPr="00484F81">
              <w:rPr>
                <w:rFonts w:ascii="Times New Roman" w:hAnsi="Times New Roman" w:cs="Times New Roman"/>
                <w:lang w:val="tr"/>
              </w:rPr>
              <w:t xml:space="preserve">Bu metrik, çiftçilerin organik maddelerin besin katkısını sentetik gübrelerle karşılaştırmasına ve besin yönetimi konusunda bilinçli kararlar almalarına yardımcı olur. </w:t>
            </w:r>
          </w:p>
        </w:tc>
        <w:tc>
          <w:tcPr>
            <w:tcW w:w="616" w:type="dxa"/>
          </w:tcPr>
          <w:p w14:paraId="60B22C96"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4, 42</w:t>
            </w:r>
          </w:p>
        </w:tc>
      </w:tr>
      <w:tr w:rsidR="003F670C" w:rsidRPr="00484F81" w14:paraId="64794FFD" w14:textId="77777777" w:rsidTr="2C6C7817">
        <w:tc>
          <w:tcPr>
            <w:tcW w:w="2062" w:type="dxa"/>
          </w:tcPr>
          <w:p w14:paraId="7FE75421"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Gübreleme</w:t>
            </w:r>
          </w:p>
        </w:tc>
        <w:tc>
          <w:tcPr>
            <w:tcW w:w="1469" w:type="dxa"/>
          </w:tcPr>
          <w:p w14:paraId="689365B4" w14:textId="77777777" w:rsidR="003F670C" w:rsidRPr="00484F81" w:rsidRDefault="003F670C" w:rsidP="00525540">
            <w:pPr>
              <w:jc w:val="both"/>
              <w:rPr>
                <w:rFonts w:ascii="Times New Roman" w:hAnsi="Times New Roman" w:cs="Times New Roman"/>
                <w:lang w:val="en-GB"/>
              </w:rPr>
            </w:pPr>
          </w:p>
        </w:tc>
        <w:tc>
          <w:tcPr>
            <w:tcW w:w="5615" w:type="dxa"/>
          </w:tcPr>
          <w:p w14:paraId="79B1A3FF" w14:textId="77777777" w:rsidR="003F670C" w:rsidRPr="00484F81" w:rsidRDefault="003F670C" w:rsidP="00525540">
            <w:pPr>
              <w:jc w:val="both"/>
              <w:rPr>
                <w:rFonts w:ascii="Times New Roman" w:hAnsi="Times New Roman" w:cs="Times New Roman"/>
                <w:lang w:val="tr"/>
              </w:rPr>
            </w:pPr>
            <w:r w:rsidRPr="00484F81">
              <w:rPr>
                <w:rFonts w:ascii="Times New Roman" w:hAnsi="Times New Roman" w:cs="Times New Roman"/>
                <w:lang w:val="tr"/>
              </w:rPr>
              <w:t>Toprağın verimliliğini korumak veya artırmak amacıyla mineral veya organik bileşiklerin uygulanmasını ifade eder. Bazı durumlarda (örneğin kireçleme) gübrelemenin amacı aynı zamanda belirli toprak özelliklerinin (pH, toprak yapısının stabilitesi) iyileştirilmesidir.</w:t>
            </w:r>
          </w:p>
        </w:tc>
        <w:tc>
          <w:tcPr>
            <w:tcW w:w="616" w:type="dxa"/>
          </w:tcPr>
          <w:p w14:paraId="2EED6646"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1</w:t>
            </w:r>
          </w:p>
        </w:tc>
      </w:tr>
      <w:tr w:rsidR="003F670C" w:rsidRPr="00484F81" w14:paraId="10912875" w14:textId="77777777" w:rsidTr="2C6C7817">
        <w:tc>
          <w:tcPr>
            <w:tcW w:w="2062" w:type="dxa"/>
          </w:tcPr>
          <w:p w14:paraId="1CFE7E78"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Hayvan gübresi</w:t>
            </w:r>
          </w:p>
        </w:tc>
        <w:tc>
          <w:tcPr>
            <w:tcW w:w="1469" w:type="dxa"/>
          </w:tcPr>
          <w:p w14:paraId="6A468819" w14:textId="77777777" w:rsidR="003F670C" w:rsidRPr="00484F81" w:rsidRDefault="003F670C" w:rsidP="00525540">
            <w:pPr>
              <w:jc w:val="both"/>
              <w:rPr>
                <w:rFonts w:ascii="Times New Roman" w:hAnsi="Times New Roman" w:cs="Times New Roman"/>
                <w:lang w:val="en-GB"/>
              </w:rPr>
            </w:pPr>
          </w:p>
        </w:tc>
        <w:tc>
          <w:tcPr>
            <w:tcW w:w="5615" w:type="dxa"/>
          </w:tcPr>
          <w:p w14:paraId="2EE0245D" w14:textId="77777777" w:rsidR="003F670C" w:rsidRPr="00484F81" w:rsidRDefault="003F670C" w:rsidP="00525540">
            <w:pPr>
              <w:jc w:val="both"/>
              <w:rPr>
                <w:rFonts w:ascii="Times New Roman" w:hAnsi="Times New Roman" w:cs="Times New Roman"/>
                <w:lang w:val="en-GB"/>
              </w:rPr>
            </w:pPr>
            <w:r w:rsidRPr="00484F81">
              <w:rPr>
                <w:rFonts w:ascii="Times New Roman" w:hAnsi="Times New Roman" w:cs="Times New Roman"/>
                <w:lang w:val="tr"/>
              </w:rPr>
              <w:t>Hayvan gübresi, yataklık malzemeleri de dahil olmak üzere çiftlik hayvanlarının dışkılarından oluşan bir gübre türüdür.</w:t>
            </w:r>
          </w:p>
        </w:tc>
        <w:tc>
          <w:tcPr>
            <w:tcW w:w="616" w:type="dxa"/>
          </w:tcPr>
          <w:p w14:paraId="67DFD23C"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1</w:t>
            </w:r>
          </w:p>
        </w:tc>
      </w:tr>
      <w:tr w:rsidR="003F670C" w:rsidRPr="00484F81" w14:paraId="44927544" w14:textId="77777777" w:rsidTr="2C6C7817">
        <w:tc>
          <w:tcPr>
            <w:tcW w:w="2062" w:type="dxa"/>
          </w:tcPr>
          <w:p w14:paraId="2BC9D01F"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Hümifikasyon</w:t>
            </w:r>
          </w:p>
        </w:tc>
        <w:tc>
          <w:tcPr>
            <w:tcW w:w="1469" w:type="dxa"/>
          </w:tcPr>
          <w:p w14:paraId="7841F0E7" w14:textId="77777777" w:rsidR="003F670C" w:rsidRPr="00484F81" w:rsidRDefault="003F670C" w:rsidP="00525540">
            <w:pPr>
              <w:jc w:val="both"/>
              <w:rPr>
                <w:rFonts w:ascii="Times New Roman" w:hAnsi="Times New Roman" w:cs="Times New Roman"/>
                <w:lang w:val="en-GB"/>
              </w:rPr>
            </w:pPr>
          </w:p>
        </w:tc>
        <w:tc>
          <w:tcPr>
            <w:tcW w:w="5615" w:type="dxa"/>
          </w:tcPr>
          <w:p w14:paraId="14C3BE3D" w14:textId="77777777" w:rsidR="003F670C" w:rsidRPr="00484F81" w:rsidRDefault="003F670C" w:rsidP="00525540">
            <w:pPr>
              <w:jc w:val="both"/>
              <w:rPr>
                <w:rFonts w:ascii="Times New Roman" w:hAnsi="Times New Roman" w:cs="Times New Roman"/>
                <w:lang w:val="en-GB"/>
              </w:rPr>
            </w:pPr>
            <w:r w:rsidRPr="00484F81">
              <w:rPr>
                <w:rFonts w:ascii="Times New Roman" w:hAnsi="Times New Roman" w:cs="Times New Roman"/>
                <w:lang w:val="tr"/>
              </w:rPr>
              <w:t>Organik kalıntılardaki karbonun biyokimyasal ve abiyotik süreçlerle hümik maddelere dönüştüğü ve dönüştürüldüğü süreci ifade eder.</w:t>
            </w:r>
          </w:p>
        </w:tc>
        <w:tc>
          <w:tcPr>
            <w:tcW w:w="616" w:type="dxa"/>
          </w:tcPr>
          <w:p w14:paraId="3465E86D"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3</w:t>
            </w:r>
          </w:p>
        </w:tc>
      </w:tr>
      <w:tr w:rsidR="003F670C" w:rsidRPr="00484F81" w14:paraId="5335338E" w14:textId="77777777" w:rsidTr="2C6C7817">
        <w:tc>
          <w:tcPr>
            <w:tcW w:w="2062" w:type="dxa"/>
          </w:tcPr>
          <w:p w14:paraId="41A9791C"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Humus</w:t>
            </w:r>
          </w:p>
        </w:tc>
        <w:tc>
          <w:tcPr>
            <w:tcW w:w="1469" w:type="dxa"/>
          </w:tcPr>
          <w:p w14:paraId="1D9804FC" w14:textId="77777777" w:rsidR="003F670C" w:rsidRPr="00484F81" w:rsidRDefault="003F670C" w:rsidP="00525540">
            <w:pPr>
              <w:jc w:val="both"/>
              <w:rPr>
                <w:rFonts w:ascii="Times New Roman" w:hAnsi="Times New Roman" w:cs="Times New Roman"/>
                <w:lang w:val="en-GB"/>
              </w:rPr>
            </w:pPr>
          </w:p>
        </w:tc>
        <w:tc>
          <w:tcPr>
            <w:tcW w:w="5615" w:type="dxa"/>
          </w:tcPr>
          <w:p w14:paraId="6C03FAE8" w14:textId="77777777" w:rsidR="003F670C" w:rsidRPr="00484F81" w:rsidRDefault="003F670C" w:rsidP="00525540">
            <w:pPr>
              <w:jc w:val="both"/>
              <w:rPr>
                <w:rFonts w:ascii="Times New Roman" w:hAnsi="Times New Roman" w:cs="Times New Roman"/>
                <w:lang w:val="tr"/>
              </w:rPr>
            </w:pPr>
            <w:r w:rsidRPr="00484F81">
              <w:rPr>
                <w:rFonts w:ascii="Times New Roman" w:hAnsi="Times New Roman" w:cs="Times New Roman"/>
                <w:lang w:val="tr"/>
              </w:rPr>
              <w:t>Düşük özgül ağırlığa</w:t>
            </w:r>
            <w:r w:rsidRPr="00484F81">
              <w:rPr>
                <w:lang w:val="tr"/>
              </w:rPr>
              <w:t xml:space="preserve"> </w:t>
            </w:r>
            <w:r w:rsidRPr="00484F81">
              <w:rPr>
                <w:rFonts w:ascii="Times New Roman" w:hAnsi="Times New Roman" w:cs="Times New Roman"/>
                <w:lang w:val="tr"/>
              </w:rPr>
              <w:t xml:space="preserve">ve yüksek yüzey alanına sahip mineralli topraklarda bitki ve hayvan artıklarının toprak mikroorganizmaları tarafından ayrıştırılmasıyla oluşan koyu renkli, şekilsiz organik bileşenleri ifade eder; bunlar genellikle yüksek molekül ağırlığına sahip birçok organik bileşenden oluşur. Bu terim genellikle toprak organik maddesi ile eş anlamlı olarak kullanılır. Humus, sağlıklı toprakların çok önemli bir bileşeni olup toprak verimliliği için önemlidir </w:t>
            </w:r>
            <w:r w:rsidRPr="00484F81">
              <w:rPr>
                <w:rFonts w:ascii="Times New Roman" w:hAnsi="Times New Roman" w:cs="Times New Roman"/>
                <w:lang w:val="tr"/>
              </w:rPr>
              <w:lastRenderedPageBreak/>
              <w:t>ve toprak parçacıklarının ve agregatlarının birbirine bağlanmasına yardımcı olur.</w:t>
            </w:r>
          </w:p>
        </w:tc>
        <w:tc>
          <w:tcPr>
            <w:tcW w:w="616" w:type="dxa"/>
          </w:tcPr>
          <w:p w14:paraId="6FBD7B6F"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lastRenderedPageBreak/>
              <w:t>3</w:t>
            </w:r>
          </w:p>
        </w:tc>
      </w:tr>
      <w:tr w:rsidR="003F670C" w:rsidRPr="00484F81" w14:paraId="368F1565" w14:textId="77777777" w:rsidTr="2C6C7817">
        <w:tc>
          <w:tcPr>
            <w:tcW w:w="2062" w:type="dxa"/>
          </w:tcPr>
          <w:p w14:paraId="3B07AD85" w14:textId="77777777" w:rsidR="003F670C" w:rsidRPr="00484F81" w:rsidRDefault="003F670C" w:rsidP="002A67F8">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İmmobilizasyon</w:t>
            </w:r>
          </w:p>
        </w:tc>
        <w:tc>
          <w:tcPr>
            <w:tcW w:w="1469" w:type="dxa"/>
          </w:tcPr>
          <w:p w14:paraId="3098A67A" w14:textId="77777777" w:rsidR="003F670C" w:rsidRPr="00484F81" w:rsidRDefault="003F670C" w:rsidP="00525540">
            <w:pPr>
              <w:jc w:val="both"/>
              <w:rPr>
                <w:rFonts w:ascii="Times New Roman" w:hAnsi="Times New Roman" w:cs="Times New Roman"/>
                <w:lang w:val="en-GB"/>
              </w:rPr>
            </w:pPr>
          </w:p>
        </w:tc>
        <w:tc>
          <w:tcPr>
            <w:tcW w:w="5615" w:type="dxa"/>
          </w:tcPr>
          <w:p w14:paraId="6B376405" w14:textId="77777777" w:rsidR="003F670C" w:rsidRPr="00484F81" w:rsidRDefault="003F670C" w:rsidP="00525540">
            <w:pPr>
              <w:jc w:val="both"/>
              <w:rPr>
                <w:rFonts w:ascii="Times New Roman" w:hAnsi="Times New Roman" w:cs="Times New Roman"/>
                <w:lang w:val="en-GB"/>
              </w:rPr>
            </w:pPr>
            <w:r w:rsidRPr="00484F81">
              <w:rPr>
                <w:rFonts w:ascii="Times New Roman" w:hAnsi="Times New Roman" w:cs="Times New Roman"/>
                <w:lang w:val="tr"/>
              </w:rPr>
              <w:t>Suda çözünen elementlerin toprak biyotası tarafından organik bileşiklere dönüştürülmesi sürecini ifade eder.</w:t>
            </w:r>
          </w:p>
          <w:p w14:paraId="4704FB84" w14:textId="77777777" w:rsidR="003F670C" w:rsidRPr="00484F81" w:rsidRDefault="003F670C" w:rsidP="00525540">
            <w:pPr>
              <w:jc w:val="both"/>
              <w:rPr>
                <w:rFonts w:ascii="Times New Roman" w:hAnsi="Times New Roman" w:cs="Times New Roman"/>
                <w:lang w:val="tr"/>
              </w:rPr>
            </w:pPr>
            <w:r w:rsidRPr="00484F81">
              <w:rPr>
                <w:rFonts w:ascii="Times New Roman" w:hAnsi="Times New Roman" w:cs="Times New Roman"/>
                <w:lang w:val="tr"/>
              </w:rPr>
              <w:t>Bu süreçte besin maddeleri (azot, fosfor ve diğer önemli elementler) toprak mikroorganizmaları tarafından geçici olarak mevcut, suda çözünebilen inorganik yapıdan mevcut olmayan organik yapıya dönüştürülür. Bu durum, mikroorganizmaların organik maddelerin ayrışması sürecinde bu besinleri hücrelerine ve dokularına dahil ederek bunları bitkiler için geçici olarak erişilemez hale getirmesiyle gerçekleşir.</w:t>
            </w:r>
          </w:p>
          <w:p w14:paraId="2531DFC8" w14:textId="77777777" w:rsidR="003F670C" w:rsidRPr="00484F81" w:rsidRDefault="003F670C" w:rsidP="00525540">
            <w:pPr>
              <w:jc w:val="both"/>
              <w:rPr>
                <w:rFonts w:ascii="Times New Roman" w:hAnsi="Times New Roman" w:cs="Times New Roman"/>
                <w:lang w:val="tr"/>
              </w:rPr>
            </w:pPr>
            <w:r w:rsidRPr="00484F81">
              <w:rPr>
                <w:rFonts w:ascii="Times New Roman" w:hAnsi="Times New Roman" w:cs="Times New Roman"/>
                <w:lang w:val="tr"/>
              </w:rPr>
              <w:t>Kirlenmiş topraklarda immobilizasyon, potansiyel olarak toksik yapıdaki bazı elementlerin çözünmez hale gelmesi anlamına da gelebilir ki bu, kirleticilerin çevreye yayılma riskini ve bitkiler tarafından olası alımını azalttığı için olumlu bir durumdur.</w:t>
            </w:r>
          </w:p>
        </w:tc>
        <w:tc>
          <w:tcPr>
            <w:tcW w:w="616" w:type="dxa"/>
          </w:tcPr>
          <w:p w14:paraId="0562B38F"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 45</w:t>
            </w:r>
          </w:p>
        </w:tc>
      </w:tr>
      <w:tr w:rsidR="003F670C" w:rsidRPr="00484F81" w14:paraId="53340BAE" w14:textId="77777777" w:rsidTr="2C6C7817">
        <w:tc>
          <w:tcPr>
            <w:tcW w:w="2062" w:type="dxa"/>
          </w:tcPr>
          <w:p w14:paraId="2A34901F" w14:textId="77777777" w:rsidR="003F670C" w:rsidRPr="00484F81" w:rsidRDefault="003F670C" w:rsidP="002A67F8">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İndirgeme</w:t>
            </w:r>
          </w:p>
        </w:tc>
        <w:tc>
          <w:tcPr>
            <w:tcW w:w="1469" w:type="dxa"/>
          </w:tcPr>
          <w:p w14:paraId="3D89B33A" w14:textId="77777777" w:rsidR="003F670C" w:rsidRPr="00484F81" w:rsidRDefault="003F670C" w:rsidP="00525540">
            <w:pPr>
              <w:jc w:val="both"/>
              <w:rPr>
                <w:rFonts w:ascii="Times New Roman" w:hAnsi="Times New Roman" w:cs="Times New Roman"/>
                <w:lang w:val="en-GB"/>
              </w:rPr>
            </w:pPr>
          </w:p>
        </w:tc>
        <w:tc>
          <w:tcPr>
            <w:tcW w:w="5615" w:type="dxa"/>
          </w:tcPr>
          <w:p w14:paraId="66AD9A39" w14:textId="77777777" w:rsidR="003F670C" w:rsidRPr="00484F81" w:rsidRDefault="003F670C" w:rsidP="00525540">
            <w:pPr>
              <w:jc w:val="both"/>
              <w:rPr>
                <w:rFonts w:ascii="Times New Roman" w:hAnsi="Times New Roman" w:cs="Times New Roman"/>
                <w:lang w:val="en-GB"/>
              </w:rPr>
            </w:pPr>
            <w:r w:rsidRPr="00484F81">
              <w:rPr>
                <w:rFonts w:ascii="Times New Roman" w:hAnsi="Times New Roman" w:cs="Times New Roman"/>
                <w:lang w:val="tr"/>
              </w:rPr>
              <w:t>Bir element veya bileşiğe hidrojen veya elektron eklenmesi, element veya bileşikten oksijen çıkarılması sürecini ifade eder. 'Gley' topraklarında olduğu gibi anaerobik koşullar-redoks koşulları (çözünmüş oksijenin bulunmadığı) söz konusu olduğunda sülfür bileşikleri koku üreten hidrojen sülfür (H</w:t>
            </w:r>
            <w:r w:rsidRPr="00484F81">
              <w:rPr>
                <w:rFonts w:ascii="Times New Roman" w:hAnsi="Times New Roman" w:cs="Times New Roman"/>
                <w:vertAlign w:val="subscript"/>
                <w:lang w:val="tr"/>
              </w:rPr>
              <w:t>2</w:t>
            </w:r>
            <w:r w:rsidRPr="00484F81">
              <w:rPr>
                <w:rFonts w:ascii="Times New Roman" w:hAnsi="Times New Roman" w:cs="Times New Roman"/>
                <w:lang w:val="tr"/>
              </w:rPr>
              <w:t>S) ve diğer bileşiklere indirgenir. İndirgeme, oksidasyonun zıttıdır.</w:t>
            </w:r>
          </w:p>
        </w:tc>
        <w:tc>
          <w:tcPr>
            <w:tcW w:w="616" w:type="dxa"/>
          </w:tcPr>
          <w:p w14:paraId="2D027AF6"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4</w:t>
            </w:r>
          </w:p>
        </w:tc>
      </w:tr>
      <w:tr w:rsidR="003F670C" w:rsidRPr="00484F81" w14:paraId="278006FC" w14:textId="77777777" w:rsidTr="2C6C7817">
        <w:tc>
          <w:tcPr>
            <w:tcW w:w="2062" w:type="dxa"/>
          </w:tcPr>
          <w:p w14:paraId="0EB0E3A9" w14:textId="77777777" w:rsidR="003F670C" w:rsidRPr="00484F81" w:rsidRDefault="003F670C" w:rsidP="002A67F8">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İnfiltrasyon</w:t>
            </w:r>
          </w:p>
        </w:tc>
        <w:tc>
          <w:tcPr>
            <w:tcW w:w="1469" w:type="dxa"/>
          </w:tcPr>
          <w:p w14:paraId="331A8EE1" w14:textId="77777777" w:rsidR="003F670C" w:rsidRPr="00484F81" w:rsidRDefault="003F670C" w:rsidP="00525540">
            <w:pPr>
              <w:jc w:val="both"/>
              <w:rPr>
                <w:rFonts w:ascii="Times New Roman" w:hAnsi="Times New Roman" w:cs="Times New Roman"/>
                <w:lang w:val="en-GB"/>
              </w:rPr>
            </w:pPr>
          </w:p>
        </w:tc>
        <w:tc>
          <w:tcPr>
            <w:tcW w:w="5615" w:type="dxa"/>
          </w:tcPr>
          <w:p w14:paraId="1CE82854" w14:textId="77777777" w:rsidR="003F670C" w:rsidRPr="00484F81" w:rsidRDefault="003F670C" w:rsidP="00525540">
            <w:pPr>
              <w:jc w:val="both"/>
              <w:rPr>
                <w:rFonts w:ascii="Times New Roman" w:hAnsi="Times New Roman" w:cs="Times New Roman"/>
                <w:lang w:val="en-GB"/>
              </w:rPr>
            </w:pPr>
            <w:r w:rsidRPr="00484F81">
              <w:rPr>
                <w:rFonts w:ascii="Times New Roman" w:hAnsi="Times New Roman" w:cs="Times New Roman"/>
                <w:lang w:val="tr"/>
              </w:rPr>
              <w:t>Suyun toprak profilinden (horizonlarından) akiferlere doğru hareketi olan perkolasyonun aksine suyun toprak yüzeyinden geçerek toprağa doğru hareketini ifade eder.</w:t>
            </w:r>
          </w:p>
        </w:tc>
        <w:tc>
          <w:tcPr>
            <w:tcW w:w="616" w:type="dxa"/>
          </w:tcPr>
          <w:p w14:paraId="115FE926"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4</w:t>
            </w:r>
          </w:p>
        </w:tc>
      </w:tr>
      <w:tr w:rsidR="003F670C" w:rsidRPr="00484F81" w14:paraId="248C7ED8" w14:textId="77777777" w:rsidTr="2C6C7817">
        <w:tc>
          <w:tcPr>
            <w:tcW w:w="2062" w:type="dxa"/>
          </w:tcPr>
          <w:p w14:paraId="7598C384" w14:textId="77777777" w:rsidR="003F670C" w:rsidRPr="00484F81" w:rsidRDefault="003F670C" w:rsidP="002A67F8">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İşlevsel arazi yönetimi</w:t>
            </w:r>
          </w:p>
        </w:tc>
        <w:tc>
          <w:tcPr>
            <w:tcW w:w="1469" w:type="dxa"/>
          </w:tcPr>
          <w:p w14:paraId="00919438" w14:textId="77777777" w:rsidR="003F670C" w:rsidRPr="00484F81" w:rsidRDefault="003F670C" w:rsidP="00525540">
            <w:pPr>
              <w:jc w:val="both"/>
              <w:rPr>
                <w:rFonts w:ascii="Times New Roman" w:hAnsi="Times New Roman" w:cs="Times New Roman"/>
                <w:lang w:val="en-GB"/>
              </w:rPr>
            </w:pPr>
          </w:p>
        </w:tc>
        <w:tc>
          <w:tcPr>
            <w:tcW w:w="5615" w:type="dxa"/>
          </w:tcPr>
          <w:p w14:paraId="6BEFE628" w14:textId="77777777" w:rsidR="003F670C" w:rsidRPr="00484F81" w:rsidRDefault="003F670C" w:rsidP="00525540">
            <w:pPr>
              <w:jc w:val="both"/>
              <w:rPr>
                <w:rFonts w:ascii="Times New Roman" w:hAnsi="Times New Roman" w:cs="Times New Roman"/>
                <w:lang w:val="en-GB"/>
              </w:rPr>
            </w:pPr>
            <w:r w:rsidRPr="00484F81">
              <w:rPr>
                <w:rFonts w:ascii="Times New Roman" w:hAnsi="Times New Roman" w:cs="Times New Roman"/>
                <w:lang w:val="tr"/>
              </w:rPr>
              <w:t>Tarımsal ve çevresel politika hedeflerini eşzamanlı olarak yerine getirmek amacıyla farklı mekânsal ölçeklerde beş temel toprak işlevine dayalı olarak ekosistem hizmetlerinin sağlanmasını optimize etmeye yönelik kavramsal çerçeveyi ifade eder.</w:t>
            </w:r>
          </w:p>
          <w:p w14:paraId="6D5D871D" w14:textId="77777777" w:rsidR="003F670C" w:rsidRPr="00484F81" w:rsidRDefault="003F670C" w:rsidP="00525540">
            <w:pPr>
              <w:jc w:val="both"/>
              <w:rPr>
                <w:rFonts w:ascii="Times New Roman" w:hAnsi="Times New Roman" w:cs="Times New Roman"/>
                <w:lang w:val="en-GB"/>
              </w:rPr>
            </w:pPr>
            <w:r w:rsidRPr="00484F81">
              <w:rPr>
                <w:rFonts w:ascii="Times New Roman" w:hAnsi="Times New Roman" w:cs="Times New Roman"/>
                <w:lang w:val="tr"/>
              </w:rPr>
              <w:t xml:space="preserve">Daha fazla bilgi için: Toprak işlevleri kavramı </w:t>
            </w:r>
            <w:hyperlink r:id="rId14" w:history="1">
              <w:r w:rsidRPr="00484F81">
                <w:rPr>
                  <w:rStyle w:val="Hyperlink"/>
                  <w:rFonts w:ascii="Times New Roman" w:hAnsi="Times New Roman" w:cs="Times New Roman"/>
                  <w:lang w:val="tr"/>
                </w:rPr>
                <w:t>http://landmarkproject.eu/soil-functions-concept/</w:t>
              </w:r>
            </w:hyperlink>
            <w:r w:rsidRPr="00484F81">
              <w:rPr>
                <w:rFonts w:ascii="Times New Roman" w:hAnsi="Times New Roman" w:cs="Times New Roman"/>
                <w:lang w:val="tr"/>
              </w:rPr>
              <w:t>.</w:t>
            </w:r>
          </w:p>
        </w:tc>
        <w:tc>
          <w:tcPr>
            <w:tcW w:w="616" w:type="dxa"/>
          </w:tcPr>
          <w:p w14:paraId="38154F35"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4</w:t>
            </w:r>
          </w:p>
        </w:tc>
      </w:tr>
      <w:tr w:rsidR="003F670C" w:rsidRPr="00484F81" w14:paraId="0054EE5E" w14:textId="77777777" w:rsidTr="2C6C7817">
        <w:tc>
          <w:tcPr>
            <w:tcW w:w="2062" w:type="dxa"/>
          </w:tcPr>
          <w:p w14:paraId="3CEAEF19" w14:textId="77777777" w:rsidR="003F670C" w:rsidRPr="00484F81" w:rsidRDefault="003F670C" w:rsidP="002A67F8">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Kalıntı</w:t>
            </w:r>
          </w:p>
        </w:tc>
        <w:tc>
          <w:tcPr>
            <w:tcW w:w="1469" w:type="dxa"/>
          </w:tcPr>
          <w:p w14:paraId="1BE368A0" w14:textId="77777777" w:rsidR="003F670C" w:rsidRPr="00484F81" w:rsidRDefault="003F670C" w:rsidP="00525540">
            <w:pPr>
              <w:jc w:val="both"/>
              <w:rPr>
                <w:rFonts w:ascii="Times New Roman" w:hAnsi="Times New Roman" w:cs="Times New Roman"/>
                <w:lang w:val="en-GB"/>
              </w:rPr>
            </w:pPr>
          </w:p>
        </w:tc>
        <w:tc>
          <w:tcPr>
            <w:tcW w:w="5615" w:type="dxa"/>
          </w:tcPr>
          <w:p w14:paraId="7E319418" w14:textId="77777777" w:rsidR="003F670C" w:rsidRPr="00484F81" w:rsidRDefault="003F670C" w:rsidP="00525540">
            <w:pPr>
              <w:jc w:val="both"/>
              <w:rPr>
                <w:rFonts w:ascii="Times New Roman" w:hAnsi="Times New Roman" w:cs="Times New Roman"/>
                <w:lang w:val="en-GB"/>
              </w:rPr>
            </w:pPr>
            <w:r w:rsidRPr="00484F81">
              <w:rPr>
                <w:rFonts w:ascii="Times New Roman" w:hAnsi="Times New Roman" w:cs="Times New Roman"/>
                <w:lang w:val="tr"/>
              </w:rPr>
              <w:t>Ekinlerin üretimi, işlenmesi veya tüketimi sırasında ortaya çıkan kök, sap, saman ve yapraklardan endüstriyel ve kentsel 'atıklara' kadar her türlü organik maddeyi ifade eder.</w:t>
            </w:r>
          </w:p>
        </w:tc>
        <w:tc>
          <w:tcPr>
            <w:tcW w:w="616" w:type="dxa"/>
          </w:tcPr>
          <w:p w14:paraId="4F0B51FB"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4</w:t>
            </w:r>
          </w:p>
        </w:tc>
      </w:tr>
      <w:tr w:rsidR="003F670C" w:rsidRPr="00484F81" w14:paraId="4170B266" w14:textId="77777777" w:rsidTr="2C6C7817">
        <w:tc>
          <w:tcPr>
            <w:tcW w:w="2062" w:type="dxa"/>
          </w:tcPr>
          <w:p w14:paraId="55493A01"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Karbon döngüsü</w:t>
            </w:r>
          </w:p>
        </w:tc>
        <w:tc>
          <w:tcPr>
            <w:tcW w:w="1469" w:type="dxa"/>
          </w:tcPr>
          <w:p w14:paraId="7543187F" w14:textId="77777777" w:rsidR="003F670C" w:rsidRPr="00484F81" w:rsidRDefault="003F670C" w:rsidP="002A67F8">
            <w:pPr>
              <w:jc w:val="both"/>
              <w:rPr>
                <w:rFonts w:ascii="Times New Roman" w:hAnsi="Times New Roman" w:cs="Times New Roman"/>
                <w:lang w:val="en-GB"/>
              </w:rPr>
            </w:pPr>
          </w:p>
        </w:tc>
        <w:tc>
          <w:tcPr>
            <w:tcW w:w="5615" w:type="dxa"/>
          </w:tcPr>
          <w:p w14:paraId="2A0FAA16" w14:textId="77777777" w:rsidR="003F670C" w:rsidRPr="00484F81" w:rsidRDefault="003F670C" w:rsidP="002A67F8">
            <w:pPr>
              <w:jc w:val="both"/>
              <w:rPr>
                <w:rFonts w:ascii="Times New Roman" w:hAnsi="Times New Roman" w:cs="Times New Roman"/>
                <w:lang w:val="en-GB"/>
              </w:rPr>
            </w:pPr>
            <w:r w:rsidRPr="00484F81">
              <w:rPr>
                <w:rFonts w:ascii="Times New Roman" w:hAnsi="Times New Roman" w:cs="Times New Roman"/>
                <w:lang w:val="tr"/>
              </w:rPr>
              <w:t>Karbondioksitin fotosentez veya kemosentez yoluyla organik formlara dönüştürüldüğü, (kısmen sedimanlara karışarak) biyosferde geri dönüştürüldüğü ve nihayetinde solunum veya yanma yoluyla orijinal haline geri döndüğü dönüşümler dizisini ifade eder.</w:t>
            </w:r>
          </w:p>
        </w:tc>
        <w:tc>
          <w:tcPr>
            <w:tcW w:w="616" w:type="dxa"/>
          </w:tcPr>
          <w:p w14:paraId="35FCE1D6"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3</w:t>
            </w:r>
          </w:p>
        </w:tc>
      </w:tr>
      <w:tr w:rsidR="003F670C" w:rsidRPr="00484F81" w14:paraId="250FC6B2" w14:textId="77777777" w:rsidTr="2C6C7817">
        <w:tc>
          <w:tcPr>
            <w:tcW w:w="2062" w:type="dxa"/>
          </w:tcPr>
          <w:p w14:paraId="1B78BCDD" w14:textId="77777777" w:rsidR="003F670C" w:rsidRPr="00484F81" w:rsidRDefault="003F670C" w:rsidP="00A655ED">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Katılımcı metodolojiler</w:t>
            </w:r>
          </w:p>
        </w:tc>
        <w:tc>
          <w:tcPr>
            <w:tcW w:w="1469" w:type="dxa"/>
          </w:tcPr>
          <w:p w14:paraId="01F21A8B" w14:textId="77777777" w:rsidR="003F670C" w:rsidRPr="00484F81" w:rsidRDefault="003F670C" w:rsidP="00A655ED">
            <w:pPr>
              <w:jc w:val="both"/>
              <w:rPr>
                <w:rFonts w:ascii="Times New Roman" w:hAnsi="Times New Roman" w:cs="Times New Roman"/>
                <w:lang w:val="en-GB"/>
              </w:rPr>
            </w:pPr>
          </w:p>
        </w:tc>
        <w:tc>
          <w:tcPr>
            <w:tcW w:w="5615" w:type="dxa"/>
          </w:tcPr>
          <w:p w14:paraId="3FF0F913"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lang w:val="tr"/>
              </w:rPr>
              <w:t>Katılımcıları öğrenme sürecine veya iletişim çabalarına aktif bir şekilde dahil eden yenilikçi yaklaşımları ifade eder. Bu metodolojiler etkileşimi, işbirliğini ve eleştirel düşünmeyi teşvik etmek, eğitim ve iletişim girişimlerinin etkinliğini artırmak amacıyla tasarlanmıştır. Bu metodolojilerin ayırt edici özellikleri arasında etkileşim, uygunluk, geri bildirim mekanizması ve teknoloji kullanımı yer alır.</w:t>
            </w:r>
          </w:p>
        </w:tc>
        <w:tc>
          <w:tcPr>
            <w:tcW w:w="616" w:type="dxa"/>
          </w:tcPr>
          <w:p w14:paraId="1A9018B0" w14:textId="77777777" w:rsidR="003F670C" w:rsidRPr="00484F81" w:rsidRDefault="003F670C" w:rsidP="00A655ED">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27</w:t>
            </w:r>
          </w:p>
        </w:tc>
      </w:tr>
      <w:tr w:rsidR="003F670C" w:rsidRPr="00484F81" w14:paraId="213EA709" w14:textId="77777777" w:rsidTr="2C6C7817">
        <w:tc>
          <w:tcPr>
            <w:tcW w:w="2062" w:type="dxa"/>
          </w:tcPr>
          <w:p w14:paraId="69465B53"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Katyon değişim kapasitesi</w:t>
            </w:r>
          </w:p>
        </w:tc>
        <w:tc>
          <w:tcPr>
            <w:tcW w:w="1469" w:type="dxa"/>
          </w:tcPr>
          <w:p w14:paraId="4B2A75FD" w14:textId="77777777" w:rsidR="003F670C" w:rsidRPr="00484F81" w:rsidRDefault="003F670C" w:rsidP="002A67F8">
            <w:pPr>
              <w:jc w:val="both"/>
              <w:rPr>
                <w:rFonts w:ascii="Times New Roman" w:hAnsi="Times New Roman" w:cs="Times New Roman"/>
                <w:lang w:val="en-GB"/>
              </w:rPr>
            </w:pPr>
          </w:p>
        </w:tc>
        <w:tc>
          <w:tcPr>
            <w:tcW w:w="5615" w:type="dxa"/>
          </w:tcPr>
          <w:p w14:paraId="36FD47E6" w14:textId="77777777" w:rsidR="003F670C" w:rsidRPr="00484F81" w:rsidRDefault="003F670C" w:rsidP="002A67F8">
            <w:pPr>
              <w:jc w:val="both"/>
              <w:rPr>
                <w:rFonts w:ascii="Times New Roman" w:hAnsi="Times New Roman" w:cs="Times New Roman"/>
                <w:lang w:val="tr"/>
              </w:rPr>
            </w:pPr>
            <w:r w:rsidRPr="00484F81">
              <w:rPr>
                <w:rFonts w:ascii="Times New Roman" w:hAnsi="Times New Roman" w:cs="Times New Roman"/>
                <w:lang w:val="tr"/>
              </w:rPr>
              <w:t xml:space="preserve">Toprağın bitkilerin kullanabileceği besin maddelerini tutma kapasitesini ifade eder. Katyon değişim kapasitesi spesifik olarak pozitif yüklü iyonları tutmak için kil mineralleri ve toprak humusu üzerinde mevcut olan negatif yük miktarıdır. Etkin katyon değişim kapasitesi (EKDK) asidik topraklar </w:t>
            </w:r>
            <w:r w:rsidRPr="00484F81">
              <w:rPr>
                <w:rFonts w:ascii="Times New Roman" w:hAnsi="Times New Roman" w:cs="Times New Roman"/>
                <w:lang w:val="tr"/>
              </w:rPr>
              <w:lastRenderedPageBreak/>
              <w:t>(pH&lt;5) için hesaplanır. Kilogram toprak başına santimol yük (cmolc/kg) cinsinden ifade edilir.</w:t>
            </w:r>
          </w:p>
        </w:tc>
        <w:tc>
          <w:tcPr>
            <w:tcW w:w="616" w:type="dxa"/>
          </w:tcPr>
          <w:p w14:paraId="2DBC05FE"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lastRenderedPageBreak/>
              <w:t>3</w:t>
            </w:r>
          </w:p>
        </w:tc>
      </w:tr>
      <w:tr w:rsidR="003F670C" w:rsidRPr="00484F81" w14:paraId="63C9B9B0" w14:textId="77777777" w:rsidTr="2C6C7817">
        <w:tc>
          <w:tcPr>
            <w:tcW w:w="2062" w:type="dxa"/>
          </w:tcPr>
          <w:p w14:paraId="7B9ABBDD"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Kirletici madde</w:t>
            </w:r>
          </w:p>
        </w:tc>
        <w:tc>
          <w:tcPr>
            <w:tcW w:w="1469" w:type="dxa"/>
          </w:tcPr>
          <w:p w14:paraId="7A2604F1" w14:textId="77777777" w:rsidR="003F670C" w:rsidRPr="00484F81" w:rsidRDefault="003F670C" w:rsidP="00525540">
            <w:pPr>
              <w:jc w:val="both"/>
              <w:rPr>
                <w:rFonts w:ascii="Times New Roman" w:hAnsi="Times New Roman" w:cs="Times New Roman"/>
                <w:lang w:val="en-GB"/>
              </w:rPr>
            </w:pPr>
          </w:p>
        </w:tc>
        <w:tc>
          <w:tcPr>
            <w:tcW w:w="5615" w:type="dxa"/>
          </w:tcPr>
          <w:p w14:paraId="1F9894E7" w14:textId="77777777" w:rsidR="003F670C" w:rsidRPr="00484F81" w:rsidRDefault="003F670C" w:rsidP="00525540">
            <w:pPr>
              <w:jc w:val="both"/>
              <w:rPr>
                <w:rFonts w:ascii="Times New Roman" w:hAnsi="Times New Roman" w:cs="Times New Roman"/>
                <w:lang w:val="en-GB"/>
              </w:rPr>
            </w:pPr>
            <w:r w:rsidRPr="00484F81">
              <w:rPr>
                <w:rFonts w:ascii="Times New Roman" w:hAnsi="Times New Roman" w:cs="Times New Roman"/>
                <w:lang w:val="tr"/>
              </w:rPr>
              <w:t>Toprakta (veya yeraltı suyunda) bulunan ve özellikleri, miktarı veya konsantrasyonu nedeniyle toprağın işlevi üzerinde olumsuz etkilere yol açan ve toprak biyotasını ve diğer canlı biyotayı olumsuz yönde etkileyen madde veya bileşikleri ifade eder.</w:t>
            </w:r>
          </w:p>
        </w:tc>
        <w:tc>
          <w:tcPr>
            <w:tcW w:w="616" w:type="dxa"/>
          </w:tcPr>
          <w:p w14:paraId="3B95256E"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2</w:t>
            </w:r>
          </w:p>
        </w:tc>
      </w:tr>
      <w:tr w:rsidR="003F670C" w:rsidRPr="00484F81" w14:paraId="1B95D02A" w14:textId="77777777" w:rsidTr="2C6C7817">
        <w:tc>
          <w:tcPr>
            <w:tcW w:w="2062" w:type="dxa"/>
          </w:tcPr>
          <w:p w14:paraId="4CE56EC7"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Kompost</w:t>
            </w:r>
          </w:p>
        </w:tc>
        <w:tc>
          <w:tcPr>
            <w:tcW w:w="1469" w:type="dxa"/>
          </w:tcPr>
          <w:p w14:paraId="18D799F8" w14:textId="77777777" w:rsidR="003F670C" w:rsidRPr="00484F81" w:rsidRDefault="003F670C" w:rsidP="002A67F8">
            <w:pPr>
              <w:jc w:val="both"/>
              <w:rPr>
                <w:rFonts w:ascii="Times New Roman" w:hAnsi="Times New Roman" w:cs="Times New Roman"/>
                <w:lang w:val="en-GB"/>
              </w:rPr>
            </w:pPr>
          </w:p>
        </w:tc>
        <w:tc>
          <w:tcPr>
            <w:tcW w:w="5615" w:type="dxa"/>
          </w:tcPr>
          <w:p w14:paraId="223A721F" w14:textId="77777777" w:rsidR="003F670C" w:rsidRPr="00484F81" w:rsidRDefault="003F670C" w:rsidP="002A67F8">
            <w:pPr>
              <w:jc w:val="both"/>
              <w:rPr>
                <w:rFonts w:ascii="Times New Roman" w:hAnsi="Times New Roman" w:cs="Times New Roman"/>
                <w:lang w:val="en-GB"/>
              </w:rPr>
            </w:pPr>
            <w:r w:rsidRPr="00484F81">
              <w:rPr>
                <w:rFonts w:ascii="Times New Roman" w:hAnsi="Times New Roman" w:cs="Times New Roman"/>
                <w:lang w:val="tr"/>
              </w:rPr>
              <w:t>Kompostlama sonucunda toprağa organik madde veya bitki besin maddesi kazandırmak amacıyla kullanılan malzemeyi ifade eder.</w:t>
            </w:r>
          </w:p>
        </w:tc>
        <w:tc>
          <w:tcPr>
            <w:tcW w:w="616" w:type="dxa"/>
          </w:tcPr>
          <w:p w14:paraId="3738DD7D"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3</w:t>
            </w:r>
          </w:p>
        </w:tc>
      </w:tr>
      <w:tr w:rsidR="003F670C" w:rsidRPr="00484F81" w14:paraId="360C9F9C" w14:textId="77777777" w:rsidTr="2C6C7817">
        <w:tc>
          <w:tcPr>
            <w:tcW w:w="2062" w:type="dxa"/>
          </w:tcPr>
          <w:p w14:paraId="5D5FA73C"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Kompostlama</w:t>
            </w:r>
          </w:p>
        </w:tc>
        <w:tc>
          <w:tcPr>
            <w:tcW w:w="1469" w:type="dxa"/>
          </w:tcPr>
          <w:p w14:paraId="399F89AE" w14:textId="77777777" w:rsidR="003F670C" w:rsidRPr="00484F81" w:rsidRDefault="003F670C" w:rsidP="002A67F8">
            <w:pPr>
              <w:jc w:val="both"/>
              <w:rPr>
                <w:rFonts w:ascii="Times New Roman" w:hAnsi="Times New Roman" w:cs="Times New Roman"/>
                <w:lang w:val="en-GB"/>
              </w:rPr>
            </w:pPr>
          </w:p>
        </w:tc>
        <w:tc>
          <w:tcPr>
            <w:tcW w:w="5615" w:type="dxa"/>
          </w:tcPr>
          <w:p w14:paraId="3871ACBB" w14:textId="77777777" w:rsidR="003F670C" w:rsidRPr="00484F81" w:rsidRDefault="003F670C" w:rsidP="002A67F8">
            <w:pPr>
              <w:jc w:val="both"/>
              <w:rPr>
                <w:rFonts w:ascii="Times New Roman" w:hAnsi="Times New Roman" w:cs="Times New Roman"/>
                <w:lang w:val="tr"/>
              </w:rPr>
            </w:pPr>
            <w:r w:rsidRPr="00484F81">
              <w:rPr>
                <w:rFonts w:ascii="Times New Roman" w:hAnsi="Times New Roman" w:cs="Times New Roman"/>
                <w:lang w:val="tr"/>
              </w:rPr>
              <w:t>Tarımsal atıklar, kentsel organik atıklar ve biçme artıkları gibi organik maddelerin aerobik mikrobiyal ayrışmasını ifade eder. Bu süreç genellikle etkili havalandırmayı destekleyen bir geometriye sahip yığınlarda depolanan organik biyokütlenin düzenli olarak döndürülmesi ve havalandırılması yoluyla gerçekleştirilir. Bu dönüşüm sırasında en kolay parçalanabilen organik fraksiyonlar oksidasyona uğrar ve tarımda gübre olarak ve biyolojik kontrol yöntemi olarak kullanılabilen stabil organik maddelere dönüştürülür. Kompostlama işlemi için kullanılan hammaddelere bağlı olarak, örneğin evsel kaynaklı hammaddelerde mikroplastik kirlenmesi gibi tarımsal uygulamalarda dikkatli olunmasını gerektiren birtakım riskler söz konusu olabilir. Aynı zamanda ürün, su kaybı nedeniyle daha az hacimli ve homojenizasyon nedeniyle daha yönetilebilir hale gelebilir.</w:t>
            </w:r>
          </w:p>
          <w:p w14:paraId="7BFC5793" w14:textId="77777777" w:rsidR="003F670C" w:rsidRPr="00484F81" w:rsidRDefault="003F670C" w:rsidP="002A67F8">
            <w:pPr>
              <w:jc w:val="both"/>
              <w:rPr>
                <w:rFonts w:ascii="Times New Roman" w:hAnsi="Times New Roman" w:cs="Times New Roman"/>
                <w:lang w:val="tr"/>
              </w:rPr>
            </w:pPr>
            <w:r w:rsidRPr="00484F81">
              <w:rPr>
                <w:rFonts w:ascii="Times New Roman" w:hAnsi="Times New Roman" w:cs="Times New Roman"/>
                <w:lang w:val="tr"/>
              </w:rPr>
              <w:t>Bu faydaların yanı sıra kompostlama, kullanılan organik maddelerin başlangıçtaki fitotoksisitesini azaltmaya yardımcı olur, maddeleri dezenfekte eder ve yabani ot tohumlarının çimlenebilme özelliğini azaltır.</w:t>
            </w:r>
          </w:p>
        </w:tc>
        <w:tc>
          <w:tcPr>
            <w:tcW w:w="616" w:type="dxa"/>
          </w:tcPr>
          <w:p w14:paraId="1AB893D9"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1, 3</w:t>
            </w:r>
          </w:p>
        </w:tc>
      </w:tr>
      <w:tr w:rsidR="003F670C" w:rsidRPr="00484F81" w14:paraId="245480C5" w14:textId="77777777" w:rsidTr="2C6C7817">
        <w:tc>
          <w:tcPr>
            <w:tcW w:w="2062" w:type="dxa"/>
          </w:tcPr>
          <w:p w14:paraId="1D53EADB" w14:textId="77777777" w:rsidR="003F670C" w:rsidRPr="00484F81" w:rsidRDefault="003F670C" w:rsidP="002A67F8">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Kontrollü trafik</w:t>
            </w:r>
          </w:p>
        </w:tc>
        <w:tc>
          <w:tcPr>
            <w:tcW w:w="1469" w:type="dxa"/>
          </w:tcPr>
          <w:p w14:paraId="37659C77" w14:textId="77777777" w:rsidR="003F670C" w:rsidRPr="00484F81" w:rsidRDefault="003F670C" w:rsidP="002A67F8">
            <w:pPr>
              <w:jc w:val="both"/>
              <w:rPr>
                <w:rFonts w:ascii="Times New Roman" w:hAnsi="Times New Roman" w:cs="Times New Roman"/>
                <w:lang w:val="en-GB"/>
              </w:rPr>
            </w:pPr>
          </w:p>
        </w:tc>
        <w:tc>
          <w:tcPr>
            <w:tcW w:w="5615" w:type="dxa"/>
          </w:tcPr>
          <w:p w14:paraId="503050F4" w14:textId="77777777" w:rsidR="003F670C" w:rsidRPr="00484F81" w:rsidRDefault="003F670C" w:rsidP="002A67F8">
            <w:pPr>
              <w:jc w:val="both"/>
              <w:rPr>
                <w:rFonts w:ascii="Times New Roman" w:hAnsi="Times New Roman" w:cs="Times New Roman"/>
                <w:lang w:val="en-GB"/>
              </w:rPr>
            </w:pPr>
            <w:r w:rsidRPr="00484F81">
              <w:rPr>
                <w:rFonts w:ascii="Times New Roman" w:hAnsi="Times New Roman" w:cs="Times New Roman"/>
                <w:lang w:val="tr"/>
              </w:rPr>
              <w:t>Toprağın sıkışmasını azaltmak için genellikle bir uydu navigasyon sistemi ile desteklenmek suretiyle bir yıl içinde farklı uygulamalara yönelik makineler için aynı trafik şeritlerinin ve yıllar boyunca aynı trafik şeritlerinin kullanılmasını ifade eder.</w:t>
            </w:r>
          </w:p>
        </w:tc>
        <w:tc>
          <w:tcPr>
            <w:tcW w:w="616" w:type="dxa"/>
          </w:tcPr>
          <w:p w14:paraId="689E84AB"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4</w:t>
            </w:r>
          </w:p>
        </w:tc>
      </w:tr>
      <w:tr w:rsidR="003F670C" w:rsidRPr="00484F81" w14:paraId="2FBE0344" w14:textId="77777777" w:rsidTr="2C6C7817">
        <w:tc>
          <w:tcPr>
            <w:tcW w:w="2062" w:type="dxa"/>
          </w:tcPr>
          <w:p w14:paraId="58DCC794" w14:textId="77777777" w:rsidR="003F670C" w:rsidRPr="00484F81" w:rsidRDefault="003F670C" w:rsidP="002A67F8">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Koruma amaçlı tarım</w:t>
            </w:r>
          </w:p>
        </w:tc>
        <w:tc>
          <w:tcPr>
            <w:tcW w:w="1469" w:type="dxa"/>
          </w:tcPr>
          <w:p w14:paraId="28E15395" w14:textId="77777777" w:rsidR="003F670C" w:rsidRPr="00484F81" w:rsidRDefault="003F670C" w:rsidP="002A67F8">
            <w:pPr>
              <w:jc w:val="both"/>
              <w:rPr>
                <w:rFonts w:ascii="Times New Roman" w:hAnsi="Times New Roman" w:cs="Times New Roman"/>
                <w:lang w:val="en-GB"/>
              </w:rPr>
            </w:pPr>
          </w:p>
        </w:tc>
        <w:tc>
          <w:tcPr>
            <w:tcW w:w="5615" w:type="dxa"/>
          </w:tcPr>
          <w:p w14:paraId="6750344C" w14:textId="77777777" w:rsidR="003F670C" w:rsidRPr="00484F81" w:rsidRDefault="003F670C" w:rsidP="002A67F8">
            <w:pPr>
              <w:jc w:val="both"/>
              <w:rPr>
                <w:rFonts w:ascii="Times New Roman" w:hAnsi="Times New Roman" w:cs="Times New Roman"/>
                <w:lang w:val="en-GB"/>
              </w:rPr>
            </w:pPr>
            <w:r w:rsidRPr="00484F81">
              <w:rPr>
                <w:rFonts w:ascii="Times New Roman" w:hAnsi="Times New Roman" w:cs="Times New Roman"/>
                <w:lang w:val="tr"/>
              </w:rPr>
              <w:t>Minimum toprak müdahalesi (toprak işlemesiz, minimum toprak işleme, azaltılmış toprak işleme, şerit toprak işleme, doğrudan sondaj), ürün rotasyonu ve kalıcı toprak örtüsü içeren bir tarım yöntemini ifade eder (</w:t>
            </w:r>
            <w:r w:rsidRPr="00484F81">
              <w:fldChar w:fldCharType="begin"/>
            </w:r>
            <w:r w:rsidRPr="00484F81">
              <w:rPr>
                <w:lang w:val="en-GB"/>
              </w:rPr>
              <w:instrText>HYPERLINK "http://www.fao.org/ag/ca/"</w:instrText>
            </w:r>
            <w:r w:rsidRPr="00484F81">
              <w:fldChar w:fldCharType="separate"/>
            </w:r>
            <w:r w:rsidRPr="00484F81">
              <w:rPr>
                <w:rStyle w:val="Hyperlink"/>
                <w:rFonts w:ascii="Times New Roman" w:hAnsi="Times New Roman" w:cs="Times New Roman"/>
                <w:lang w:val="tr"/>
              </w:rPr>
              <w:t>http://www.fao.org/ag/ca/</w:t>
            </w:r>
            <w:r w:rsidRPr="00484F81">
              <w:fldChar w:fldCharType="end"/>
            </w:r>
            <w:r w:rsidRPr="00484F81">
              <w:rPr>
                <w:rFonts w:ascii="Times New Roman" w:hAnsi="Times New Roman" w:cs="Times New Roman"/>
                <w:lang w:val="tr"/>
              </w:rPr>
              <w:t xml:space="preserve"> ).</w:t>
            </w:r>
          </w:p>
        </w:tc>
        <w:tc>
          <w:tcPr>
            <w:tcW w:w="616" w:type="dxa"/>
          </w:tcPr>
          <w:p w14:paraId="0AF33828"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4</w:t>
            </w:r>
          </w:p>
        </w:tc>
      </w:tr>
      <w:tr w:rsidR="003F670C" w:rsidRPr="00484F81" w14:paraId="7B0D2B59" w14:textId="77777777" w:rsidTr="2C6C7817">
        <w:tc>
          <w:tcPr>
            <w:tcW w:w="2062" w:type="dxa"/>
          </w:tcPr>
          <w:p w14:paraId="27900C0A"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Malçlama</w:t>
            </w:r>
          </w:p>
        </w:tc>
        <w:tc>
          <w:tcPr>
            <w:tcW w:w="1469" w:type="dxa"/>
          </w:tcPr>
          <w:p w14:paraId="5C2AA848" w14:textId="77777777" w:rsidR="003F670C" w:rsidRPr="00484F81" w:rsidRDefault="003F670C" w:rsidP="00525540">
            <w:pPr>
              <w:jc w:val="both"/>
              <w:rPr>
                <w:rFonts w:ascii="Times New Roman" w:hAnsi="Times New Roman" w:cs="Times New Roman"/>
                <w:lang w:val="en-GB"/>
              </w:rPr>
            </w:pPr>
          </w:p>
        </w:tc>
        <w:tc>
          <w:tcPr>
            <w:tcW w:w="5615" w:type="dxa"/>
          </w:tcPr>
          <w:p w14:paraId="6B86CB63" w14:textId="77777777" w:rsidR="003F670C" w:rsidRPr="00484F81" w:rsidRDefault="003F670C" w:rsidP="00525540">
            <w:pPr>
              <w:jc w:val="both"/>
              <w:rPr>
                <w:rFonts w:ascii="Times New Roman" w:hAnsi="Times New Roman" w:cs="Times New Roman"/>
                <w:lang w:val="en-GB"/>
              </w:rPr>
            </w:pPr>
            <w:r w:rsidRPr="00484F81">
              <w:rPr>
                <w:rFonts w:ascii="Times New Roman" w:hAnsi="Times New Roman" w:cs="Times New Roman"/>
                <w:lang w:val="tr"/>
              </w:rPr>
              <w:t>Toprağın ve suyun korunmasını teşvik etmek, yabani otları kontrol altına almak, zararlıları caydırmak ve bitkilerin büyümesi için elverişli ve istikrarlı koşulları sürdürmek amacıyla toprak yüzeyinin genellikle organik malzemeler veya plastik örtülerle kaplanmasını içeren tarım uygulamasını ifade eder.</w:t>
            </w:r>
          </w:p>
        </w:tc>
        <w:tc>
          <w:tcPr>
            <w:tcW w:w="616" w:type="dxa"/>
          </w:tcPr>
          <w:p w14:paraId="2D35911F"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1</w:t>
            </w:r>
          </w:p>
        </w:tc>
      </w:tr>
      <w:tr w:rsidR="003F670C" w:rsidRPr="00484F81" w14:paraId="349E4416" w14:textId="77777777" w:rsidTr="2C6C7817">
        <w:tc>
          <w:tcPr>
            <w:tcW w:w="2062" w:type="dxa"/>
          </w:tcPr>
          <w:p w14:paraId="4344F469" w14:textId="77777777" w:rsidR="003F670C" w:rsidRPr="00484F81" w:rsidRDefault="003F670C" w:rsidP="002A67F8">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Mikoriza</w:t>
            </w:r>
          </w:p>
        </w:tc>
        <w:tc>
          <w:tcPr>
            <w:tcW w:w="1469" w:type="dxa"/>
          </w:tcPr>
          <w:p w14:paraId="47613C62" w14:textId="77777777" w:rsidR="003F670C" w:rsidRPr="00484F81" w:rsidRDefault="003F670C" w:rsidP="00525540">
            <w:pPr>
              <w:jc w:val="both"/>
              <w:rPr>
                <w:rFonts w:ascii="Times New Roman" w:hAnsi="Times New Roman" w:cs="Times New Roman"/>
                <w:lang w:val="en-GB"/>
              </w:rPr>
            </w:pPr>
          </w:p>
        </w:tc>
        <w:tc>
          <w:tcPr>
            <w:tcW w:w="5615" w:type="dxa"/>
          </w:tcPr>
          <w:p w14:paraId="78564614" w14:textId="77777777" w:rsidR="003F670C" w:rsidRPr="00484F81" w:rsidRDefault="003F670C" w:rsidP="00525540">
            <w:pPr>
              <w:jc w:val="both"/>
              <w:rPr>
                <w:rFonts w:ascii="Times New Roman" w:hAnsi="Times New Roman" w:cs="Times New Roman"/>
                <w:lang w:val="tr"/>
              </w:rPr>
            </w:pPr>
            <w:r w:rsidRPr="00484F81">
              <w:rPr>
                <w:rFonts w:ascii="Times New Roman" w:hAnsi="Times New Roman" w:cs="Times New Roman"/>
                <w:lang w:val="tr"/>
              </w:rPr>
              <w:t xml:space="preserve">Tam olarak "mantar kökü" anlamına gelen bu terim, mantar ve bitki kökleri arasındaki simbiyotik (karşılıklı fayda sağlayan) ilişkiyi ifade eder. Mantar bitki köklerine su ve besin sağlarken bitki de karbonhidrat sağlar. Bitki kökleri genellikle tek başına toprak hacminin en fazla %1'lik kısmını araştırabilirken (bitkinin kök hücre duvarlarına yapışan) mikorizal mantar ile birlikte toprak hacminin yaklaşık %20'lik kısmını araştırabilmektedir. Bitkilerin %80'inden fazlası mikorizal bir ilişkiye sahiptir fakat bu mantar popülasyonları </w:t>
            </w:r>
            <w:r w:rsidRPr="00484F81">
              <w:rPr>
                <w:rFonts w:ascii="Times New Roman" w:hAnsi="Times New Roman" w:cs="Times New Roman"/>
                <w:lang w:val="tr"/>
              </w:rPr>
              <w:lastRenderedPageBreak/>
              <w:t>geleneksel toprak işleme ve yüksek azot ve fosforlu gübre uygulamaları yüzünden azalmaktadır.</w:t>
            </w:r>
          </w:p>
        </w:tc>
        <w:tc>
          <w:tcPr>
            <w:tcW w:w="616" w:type="dxa"/>
          </w:tcPr>
          <w:p w14:paraId="20CB5C3D"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lastRenderedPageBreak/>
              <w:t>7</w:t>
            </w:r>
          </w:p>
        </w:tc>
      </w:tr>
      <w:tr w:rsidR="003F670C" w:rsidRPr="00484F81" w14:paraId="5BBBD86B" w14:textId="77777777" w:rsidTr="2C6C7817">
        <w:tc>
          <w:tcPr>
            <w:tcW w:w="2062" w:type="dxa"/>
          </w:tcPr>
          <w:p w14:paraId="36A6D51D" w14:textId="77777777" w:rsidR="003F670C" w:rsidRPr="00484F81" w:rsidRDefault="003F670C" w:rsidP="002A67F8">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Mineralizasyon</w:t>
            </w:r>
          </w:p>
        </w:tc>
        <w:tc>
          <w:tcPr>
            <w:tcW w:w="1469" w:type="dxa"/>
          </w:tcPr>
          <w:p w14:paraId="394A7A33" w14:textId="77777777" w:rsidR="003F670C" w:rsidRPr="00484F81" w:rsidRDefault="003F670C" w:rsidP="00525540">
            <w:pPr>
              <w:jc w:val="both"/>
              <w:rPr>
                <w:rFonts w:ascii="Times New Roman" w:hAnsi="Times New Roman" w:cs="Times New Roman"/>
                <w:lang w:val="en-GB"/>
              </w:rPr>
            </w:pPr>
          </w:p>
        </w:tc>
        <w:tc>
          <w:tcPr>
            <w:tcW w:w="5615" w:type="dxa"/>
          </w:tcPr>
          <w:p w14:paraId="793EC6FF" w14:textId="77777777" w:rsidR="003F670C" w:rsidRPr="00484F81" w:rsidRDefault="003F670C" w:rsidP="00525540">
            <w:pPr>
              <w:jc w:val="both"/>
              <w:rPr>
                <w:rFonts w:ascii="Times New Roman" w:hAnsi="Times New Roman" w:cs="Times New Roman"/>
                <w:lang w:val="en-GB"/>
              </w:rPr>
            </w:pPr>
            <w:r w:rsidRPr="00484F81">
              <w:rPr>
                <w:rFonts w:ascii="Times New Roman" w:hAnsi="Times New Roman" w:cs="Times New Roman"/>
                <w:lang w:val="tr"/>
              </w:rPr>
              <w:t>Organik olarak bağlanmış elementlerin (N, P, S) toprak biyotası tarafından bitkilerin kullanabileceği (inorganik) biçimlere dönüştürülmesi sürecini ifade eder.</w:t>
            </w:r>
          </w:p>
        </w:tc>
        <w:tc>
          <w:tcPr>
            <w:tcW w:w="616" w:type="dxa"/>
          </w:tcPr>
          <w:p w14:paraId="786527FC"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4</w:t>
            </w:r>
          </w:p>
        </w:tc>
      </w:tr>
      <w:tr w:rsidR="003F670C" w:rsidRPr="00484F81" w14:paraId="13C3F202" w14:textId="77777777" w:rsidTr="2C6C7817">
        <w:tc>
          <w:tcPr>
            <w:tcW w:w="2062" w:type="dxa"/>
          </w:tcPr>
          <w:p w14:paraId="506A7409" w14:textId="77777777" w:rsidR="003F670C" w:rsidRPr="00484F81" w:rsidRDefault="003F670C" w:rsidP="002A67F8">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Nadas arazisi</w:t>
            </w:r>
          </w:p>
        </w:tc>
        <w:tc>
          <w:tcPr>
            <w:tcW w:w="1469" w:type="dxa"/>
          </w:tcPr>
          <w:p w14:paraId="1EF25E14" w14:textId="77777777" w:rsidR="003F670C" w:rsidRPr="00484F81" w:rsidRDefault="003F670C" w:rsidP="002A67F8">
            <w:pPr>
              <w:jc w:val="both"/>
              <w:rPr>
                <w:rFonts w:ascii="Times New Roman" w:hAnsi="Times New Roman" w:cs="Times New Roman"/>
                <w:lang w:val="en-GB"/>
              </w:rPr>
            </w:pPr>
          </w:p>
        </w:tc>
        <w:tc>
          <w:tcPr>
            <w:tcW w:w="5615" w:type="dxa"/>
          </w:tcPr>
          <w:p w14:paraId="530FF2D1" w14:textId="77777777" w:rsidR="003F670C" w:rsidRPr="00484F81" w:rsidRDefault="003F670C" w:rsidP="002A67F8">
            <w:pPr>
              <w:jc w:val="both"/>
              <w:rPr>
                <w:rFonts w:ascii="Times New Roman" w:hAnsi="Times New Roman" w:cs="Times New Roman"/>
                <w:lang w:val="tr"/>
              </w:rPr>
            </w:pPr>
            <w:r w:rsidRPr="00484F81">
              <w:rPr>
                <w:rFonts w:ascii="Times New Roman" w:hAnsi="Times New Roman" w:cs="Times New Roman"/>
                <w:lang w:val="tr"/>
              </w:rPr>
              <w:t>Nem veya organik madde birikimi yoluyla üretkenliği yeniden sağlamak amacıyla boş bırakılan tarım arazisini ifade eder. Yaz nadası, tahıl yetiştirilen ve sınırlı yağış alan bölgelerde yaygındır. Yabani ot kontrolü ve bitki kalıntılarının ayrıştırılması için toprak en az bir yetiştirme sezonu boyunca sürülür.</w:t>
            </w:r>
          </w:p>
        </w:tc>
        <w:tc>
          <w:tcPr>
            <w:tcW w:w="616" w:type="dxa"/>
          </w:tcPr>
          <w:p w14:paraId="25E315B1"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4</w:t>
            </w:r>
          </w:p>
        </w:tc>
      </w:tr>
      <w:tr w:rsidR="003F670C" w:rsidRPr="00484F81" w14:paraId="646EA83B" w14:textId="77777777" w:rsidTr="2C6C7817">
        <w:tc>
          <w:tcPr>
            <w:tcW w:w="2062" w:type="dxa"/>
          </w:tcPr>
          <w:p w14:paraId="5F27EDDF" w14:textId="77777777" w:rsidR="003F670C" w:rsidRPr="00484F81" w:rsidRDefault="003F670C" w:rsidP="002A67F8">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Oksidasyon</w:t>
            </w:r>
          </w:p>
        </w:tc>
        <w:tc>
          <w:tcPr>
            <w:tcW w:w="1469" w:type="dxa"/>
          </w:tcPr>
          <w:p w14:paraId="19DD783A" w14:textId="77777777" w:rsidR="003F670C" w:rsidRPr="00484F81" w:rsidRDefault="003F670C" w:rsidP="00525540">
            <w:pPr>
              <w:jc w:val="both"/>
              <w:rPr>
                <w:rFonts w:ascii="Times New Roman" w:hAnsi="Times New Roman" w:cs="Times New Roman"/>
                <w:lang w:val="en-GB"/>
              </w:rPr>
            </w:pPr>
          </w:p>
        </w:tc>
        <w:tc>
          <w:tcPr>
            <w:tcW w:w="5615" w:type="dxa"/>
          </w:tcPr>
          <w:p w14:paraId="605A1858" w14:textId="77777777" w:rsidR="003F670C" w:rsidRPr="00484F81" w:rsidRDefault="003F670C" w:rsidP="00525540">
            <w:pPr>
              <w:jc w:val="both"/>
              <w:rPr>
                <w:rFonts w:ascii="Times New Roman" w:hAnsi="Times New Roman" w:cs="Times New Roman"/>
                <w:lang w:val="tr"/>
              </w:rPr>
            </w:pPr>
            <w:r w:rsidRPr="00484F81">
              <w:rPr>
                <w:rFonts w:ascii="Times New Roman" w:hAnsi="Times New Roman" w:cs="Times New Roman"/>
                <w:lang w:val="tr"/>
              </w:rPr>
              <w:t>Bir element veya bileşiğe oksijen eklenmesi, bir element veya bileşikten hidrojen veya elektron çıkarılması sürecini ifade eder. Organik maddeler çevrede oksitlenerek daha kararlı maddelere dönüşür. Oksidasyon, 'indirgemenin' zıttıdır. Organik maddenin oksitlenmesi 'yanma', demirin oksitlenmesi ise 'paslanma' olarak adlandırılır.</w:t>
            </w:r>
          </w:p>
        </w:tc>
        <w:tc>
          <w:tcPr>
            <w:tcW w:w="616" w:type="dxa"/>
          </w:tcPr>
          <w:p w14:paraId="7B64C88C"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4</w:t>
            </w:r>
          </w:p>
        </w:tc>
      </w:tr>
      <w:tr w:rsidR="003F670C" w:rsidRPr="00484F81" w14:paraId="7FF8B35C" w14:textId="77777777" w:rsidTr="2C6C7817">
        <w:tc>
          <w:tcPr>
            <w:tcW w:w="2062" w:type="dxa"/>
          </w:tcPr>
          <w:p w14:paraId="0438C591"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Organik gübre</w:t>
            </w:r>
          </w:p>
        </w:tc>
        <w:tc>
          <w:tcPr>
            <w:tcW w:w="1469" w:type="dxa"/>
          </w:tcPr>
          <w:p w14:paraId="10FFEEE5" w14:textId="77777777" w:rsidR="003F670C" w:rsidRPr="00484F81" w:rsidRDefault="003F670C" w:rsidP="00525540">
            <w:pPr>
              <w:jc w:val="both"/>
              <w:rPr>
                <w:rFonts w:ascii="Times New Roman" w:hAnsi="Times New Roman" w:cs="Times New Roman"/>
                <w:lang w:val="en-GB"/>
              </w:rPr>
            </w:pPr>
          </w:p>
        </w:tc>
        <w:tc>
          <w:tcPr>
            <w:tcW w:w="5615" w:type="dxa"/>
          </w:tcPr>
          <w:p w14:paraId="457C88E7" w14:textId="77777777" w:rsidR="003F670C" w:rsidRPr="00484F81" w:rsidRDefault="003F670C" w:rsidP="00525540">
            <w:pPr>
              <w:jc w:val="both"/>
              <w:rPr>
                <w:rFonts w:ascii="Times New Roman" w:hAnsi="Times New Roman" w:cs="Times New Roman"/>
                <w:lang w:val="en-GB"/>
              </w:rPr>
            </w:pPr>
            <w:r w:rsidRPr="00484F81">
              <w:rPr>
                <w:rFonts w:ascii="Times New Roman" w:hAnsi="Times New Roman" w:cs="Times New Roman"/>
                <w:lang w:val="tr"/>
              </w:rPr>
              <w:t xml:space="preserve">Hayvan dışkısı ve kompostlaştırılmış organik madde gibi doğal yollarla meydana gelen süreçlerin yan ürünlerinden veya son ürünlerinden elde edilen bitki veya hayvan kökenli maddelerden oluşan gübreleri ifade eder. </w:t>
            </w:r>
          </w:p>
        </w:tc>
        <w:tc>
          <w:tcPr>
            <w:tcW w:w="616" w:type="dxa"/>
          </w:tcPr>
          <w:p w14:paraId="559CEB38"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1</w:t>
            </w:r>
          </w:p>
        </w:tc>
      </w:tr>
      <w:tr w:rsidR="003F670C" w:rsidRPr="00484F81" w14:paraId="6F2E7286" w14:textId="77777777" w:rsidTr="2C6C7817">
        <w:tc>
          <w:tcPr>
            <w:tcW w:w="2062" w:type="dxa"/>
          </w:tcPr>
          <w:p w14:paraId="0305BF78"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Organik tarım</w:t>
            </w:r>
          </w:p>
        </w:tc>
        <w:tc>
          <w:tcPr>
            <w:tcW w:w="1469" w:type="dxa"/>
          </w:tcPr>
          <w:p w14:paraId="0E8F1991" w14:textId="77777777" w:rsidR="003F670C" w:rsidRPr="00484F81" w:rsidRDefault="003F670C" w:rsidP="00525540">
            <w:pPr>
              <w:jc w:val="both"/>
              <w:rPr>
                <w:rFonts w:ascii="Times New Roman" w:hAnsi="Times New Roman" w:cs="Times New Roman"/>
                <w:lang w:val="en-GB"/>
              </w:rPr>
            </w:pPr>
          </w:p>
        </w:tc>
        <w:tc>
          <w:tcPr>
            <w:tcW w:w="5615" w:type="dxa"/>
          </w:tcPr>
          <w:p w14:paraId="22D48148" w14:textId="77777777" w:rsidR="003F670C" w:rsidRPr="00484F81" w:rsidRDefault="003F670C" w:rsidP="00525540">
            <w:pPr>
              <w:jc w:val="both"/>
              <w:rPr>
                <w:rFonts w:ascii="Times New Roman" w:hAnsi="Times New Roman" w:cs="Times New Roman"/>
                <w:lang w:val="tr"/>
              </w:rPr>
            </w:pPr>
            <w:r w:rsidRPr="00484F81">
              <w:rPr>
                <w:rFonts w:ascii="Times New Roman" w:hAnsi="Times New Roman" w:cs="Times New Roman"/>
                <w:lang w:val="tr"/>
              </w:rPr>
              <w:t>Ürün ve hayvan yetiştirmek için sentetik kimyasallardan kaçınarak doğal uygulamaları teşvik eden üretim sistemini ifade eder. Genetiği değiştirilmiş organizma (GDO'lar), sentetik pestisit ve antibiyotik kullanımından kaçınarak çevre ve toprak sağlığına öncelik verir. Organik tarımda olumsuz etkileri olan girdilerin kullanımı yerine ekolojik süreçler, biyoçeşitlilik ve yerel koşullara uyarlanmış döngüler esas alınır.</w:t>
            </w:r>
          </w:p>
        </w:tc>
        <w:tc>
          <w:tcPr>
            <w:tcW w:w="616" w:type="dxa"/>
          </w:tcPr>
          <w:p w14:paraId="4D707B13"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1</w:t>
            </w:r>
          </w:p>
        </w:tc>
      </w:tr>
      <w:tr w:rsidR="003F670C" w:rsidRPr="00484F81" w14:paraId="6850E517" w14:textId="77777777" w:rsidTr="2C6C7817">
        <w:tc>
          <w:tcPr>
            <w:tcW w:w="2062" w:type="dxa"/>
          </w:tcPr>
          <w:p w14:paraId="63EC6AB9" w14:textId="77777777" w:rsidR="003F670C" w:rsidRPr="00484F81" w:rsidRDefault="003F670C" w:rsidP="002A67F8">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Ötrofikasyon</w:t>
            </w:r>
          </w:p>
        </w:tc>
        <w:tc>
          <w:tcPr>
            <w:tcW w:w="1469" w:type="dxa"/>
          </w:tcPr>
          <w:p w14:paraId="7FC738B5" w14:textId="77777777" w:rsidR="003F670C" w:rsidRPr="00484F81" w:rsidRDefault="003F670C" w:rsidP="002A67F8">
            <w:pPr>
              <w:jc w:val="both"/>
              <w:rPr>
                <w:rFonts w:ascii="Times New Roman" w:hAnsi="Times New Roman" w:cs="Times New Roman"/>
                <w:lang w:val="en-GB"/>
              </w:rPr>
            </w:pPr>
          </w:p>
        </w:tc>
        <w:tc>
          <w:tcPr>
            <w:tcW w:w="5615" w:type="dxa"/>
          </w:tcPr>
          <w:p w14:paraId="18D7817A" w14:textId="77777777" w:rsidR="003F670C" w:rsidRPr="00484F81" w:rsidRDefault="003F670C" w:rsidP="002A67F8">
            <w:pPr>
              <w:jc w:val="both"/>
              <w:rPr>
                <w:rFonts w:ascii="Times New Roman" w:hAnsi="Times New Roman" w:cs="Times New Roman"/>
                <w:lang w:val="tr"/>
              </w:rPr>
            </w:pPr>
            <w:r w:rsidRPr="00484F81">
              <w:rPr>
                <w:rFonts w:ascii="Times New Roman" w:hAnsi="Times New Roman" w:cs="Times New Roman"/>
                <w:lang w:val="tr"/>
              </w:rPr>
              <w:t>Göl veya toprak çözeltisi gibi bir su kütlesinin çözünmüş besin maddeleriyle zenginleştiği süreci ifade eder. Bu doğal yollarla gerçekleşebileceği gibi genellikle kirlilikten kaynaklanır. Ötrofikasyon nihayetinde balık yaşamına zarar verebilecek anaerobik koşullara yol açan alg patlamalarına neden olabilir.</w:t>
            </w:r>
          </w:p>
        </w:tc>
        <w:tc>
          <w:tcPr>
            <w:tcW w:w="616" w:type="dxa"/>
          </w:tcPr>
          <w:p w14:paraId="1E8ED367"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4</w:t>
            </w:r>
          </w:p>
        </w:tc>
      </w:tr>
      <w:tr w:rsidR="003F670C" w:rsidRPr="00484F81" w14:paraId="4F846158" w14:textId="77777777" w:rsidTr="2C6C7817">
        <w:tc>
          <w:tcPr>
            <w:tcW w:w="2062" w:type="dxa"/>
          </w:tcPr>
          <w:p w14:paraId="027198EC" w14:textId="77777777" w:rsidR="003F670C" w:rsidRPr="00484F81" w:rsidRDefault="003F670C" w:rsidP="00A655ED">
            <w:pPr>
              <w:rPr>
                <w:rFonts w:ascii="Times New Roman" w:hAnsi="Times New Roman" w:cs="Times New Roman"/>
                <w:b/>
                <w:color w:val="BF4E14" w:themeColor="accent2" w:themeShade="BF"/>
                <w:lang w:val="en-GB"/>
              </w:rPr>
            </w:pPr>
            <w:r w:rsidRPr="00484F81">
              <w:rPr>
                <w:rFonts w:ascii="Times New Roman" w:hAnsi="Times New Roman" w:cs="Times New Roman"/>
                <w:b/>
                <w:color w:val="3A7C22" w:themeColor="accent6" w:themeShade="BF"/>
                <w:lang w:val="tr"/>
              </w:rPr>
              <w:t>Permakültür</w:t>
            </w:r>
          </w:p>
        </w:tc>
        <w:tc>
          <w:tcPr>
            <w:tcW w:w="1469" w:type="dxa"/>
          </w:tcPr>
          <w:p w14:paraId="5B0448FC" w14:textId="77777777" w:rsidR="003F670C" w:rsidRPr="00484F81" w:rsidRDefault="003F670C" w:rsidP="00A655ED">
            <w:pPr>
              <w:jc w:val="both"/>
              <w:rPr>
                <w:rFonts w:ascii="Times New Roman" w:hAnsi="Times New Roman" w:cs="Times New Roman"/>
                <w:lang w:val="en-GB"/>
              </w:rPr>
            </w:pPr>
          </w:p>
        </w:tc>
        <w:tc>
          <w:tcPr>
            <w:tcW w:w="5615" w:type="dxa"/>
          </w:tcPr>
          <w:p w14:paraId="4E70CEAE"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lang w:val="tr"/>
              </w:rPr>
              <w:t xml:space="preserve">Permakültür, doğal ekosistemlerin çeşitliliğini, istikrarını ve esnekliğini taklit eden tarımsal açıdan üretken ekosistemler oluşturur. Permakültür, nesiller boyunca kendi kendini idame ettirebilecek ve üretken olabilecek bir peyzaj yaratmayı amaçlar. Permakültür, bir dizi tarımsal uygulamayı içeren rejeneratif bir tarım sistemi, söz konusu uygulamaları seçen, birleştiren ve düzenleyen bir tasarım sistemi ve bunların sonucunda ortaya çıkan agroekolojik tarım sistemidir. Permakültür, balkonda yetiştirilen bitkilerden hektarlarca büyüklüğe sahip arazilere kadar uzanan bir ölçekte uygulanabilir. </w:t>
            </w:r>
          </w:p>
        </w:tc>
        <w:tc>
          <w:tcPr>
            <w:tcW w:w="616" w:type="dxa"/>
          </w:tcPr>
          <w:p w14:paraId="58B5BF9A" w14:textId="77777777" w:rsidR="003F670C" w:rsidRPr="00484F81" w:rsidRDefault="003F670C" w:rsidP="00A655ED">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14</w:t>
            </w:r>
          </w:p>
        </w:tc>
      </w:tr>
      <w:tr w:rsidR="003F670C" w:rsidRPr="00484F81" w14:paraId="18141D6A" w14:textId="77777777" w:rsidTr="2C6C7817">
        <w:tc>
          <w:tcPr>
            <w:tcW w:w="2062" w:type="dxa"/>
          </w:tcPr>
          <w:p w14:paraId="2497441D" w14:textId="77777777" w:rsidR="003F670C" w:rsidRPr="00484F81" w:rsidRDefault="003F670C" w:rsidP="00A655ED">
            <w:pPr>
              <w:rPr>
                <w:rFonts w:ascii="Times New Roman" w:hAnsi="Times New Roman" w:cs="Times New Roman"/>
                <w:b/>
                <w:color w:val="BF4E14" w:themeColor="accent2" w:themeShade="BF"/>
                <w:lang w:val="en-GB"/>
              </w:rPr>
            </w:pPr>
            <w:r w:rsidRPr="00484F81">
              <w:rPr>
                <w:rFonts w:ascii="Times New Roman" w:hAnsi="Times New Roman" w:cs="Times New Roman"/>
                <w:b/>
                <w:color w:val="3A7C22" w:themeColor="accent6" w:themeShade="BF"/>
                <w:lang w:val="tr"/>
              </w:rPr>
              <w:t>Rejeneratif tarım</w:t>
            </w:r>
          </w:p>
        </w:tc>
        <w:tc>
          <w:tcPr>
            <w:tcW w:w="1469" w:type="dxa"/>
          </w:tcPr>
          <w:p w14:paraId="5A1CC987" w14:textId="77777777" w:rsidR="003F670C" w:rsidRPr="00484F81" w:rsidRDefault="003F670C" w:rsidP="00A655ED">
            <w:pPr>
              <w:jc w:val="both"/>
              <w:rPr>
                <w:rFonts w:ascii="Times New Roman" w:hAnsi="Times New Roman" w:cs="Times New Roman"/>
                <w:lang w:val="en-GB"/>
              </w:rPr>
            </w:pPr>
          </w:p>
        </w:tc>
        <w:tc>
          <w:tcPr>
            <w:tcW w:w="5615" w:type="dxa"/>
          </w:tcPr>
          <w:p w14:paraId="1D6C1457"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lang w:val="tr"/>
              </w:rPr>
              <w:t xml:space="preserve">Bir yandan tarımsal üretkenliği ve esnekliği artırırken diğer yandan toprağın sağlığını, biyolojik çeşitliliği ve ekosistem işlevlerini onarmaya ve geliştirmeye odaklanan bilime dayalı tarım ve arazi yönetimi yaklaşımını ifade eder. Rejeneratif tarımda bozulmuş toprakları ve ekosistemleri aktif bir şekilde yenileyerek hem çevreye hem de tarımsal sistemlere fayda sağlayan pozitif bir geri besleme döngüsü yaratan uygulamalar kullanılır. Rejeneratif tarım yaklaşımı, ekosistem hizmetlerini geliştiren ve uzun vadeli tarımsal </w:t>
            </w:r>
            <w:r w:rsidRPr="00484F81">
              <w:rPr>
                <w:rFonts w:ascii="Times New Roman" w:hAnsi="Times New Roman" w:cs="Times New Roman"/>
                <w:lang w:val="tr"/>
              </w:rPr>
              <w:lastRenderedPageBreak/>
              <w:t>sürdürülebilirliği destekleyen bir döngü yaratmayı amaçlayarak toprağın, bitkilerin, hayvanların ve insanların birbirine bağlılığını vurgular.</w:t>
            </w:r>
          </w:p>
        </w:tc>
        <w:tc>
          <w:tcPr>
            <w:tcW w:w="616" w:type="dxa"/>
          </w:tcPr>
          <w:p w14:paraId="56550E58" w14:textId="77777777" w:rsidR="003F670C" w:rsidRPr="00484F81" w:rsidRDefault="003F670C" w:rsidP="00A655ED">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lastRenderedPageBreak/>
              <w:t>1, 41</w:t>
            </w:r>
          </w:p>
        </w:tc>
      </w:tr>
      <w:tr w:rsidR="003F670C" w:rsidRPr="00484F81" w14:paraId="10430EA3" w14:textId="77777777" w:rsidTr="2C6C7817">
        <w:tc>
          <w:tcPr>
            <w:tcW w:w="2062" w:type="dxa"/>
          </w:tcPr>
          <w:p w14:paraId="56B91E02"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Salinizasyon</w:t>
            </w:r>
          </w:p>
        </w:tc>
        <w:tc>
          <w:tcPr>
            <w:tcW w:w="1469" w:type="dxa"/>
          </w:tcPr>
          <w:p w14:paraId="16C11CE7" w14:textId="77777777" w:rsidR="003F670C" w:rsidRPr="00484F81" w:rsidRDefault="003F670C" w:rsidP="00525540">
            <w:pPr>
              <w:jc w:val="both"/>
              <w:rPr>
                <w:rFonts w:ascii="Times New Roman" w:hAnsi="Times New Roman" w:cs="Times New Roman"/>
                <w:lang w:val="en-GB"/>
              </w:rPr>
            </w:pPr>
          </w:p>
        </w:tc>
        <w:tc>
          <w:tcPr>
            <w:tcW w:w="5615" w:type="dxa"/>
          </w:tcPr>
          <w:p w14:paraId="097E8C29" w14:textId="77777777" w:rsidR="003F670C" w:rsidRPr="00484F81" w:rsidRDefault="003F670C" w:rsidP="00525540">
            <w:pPr>
              <w:jc w:val="both"/>
              <w:rPr>
                <w:rFonts w:ascii="Times New Roman" w:hAnsi="Times New Roman" w:cs="Times New Roman"/>
                <w:lang w:val="en-GB"/>
              </w:rPr>
            </w:pPr>
            <w:bookmarkStart w:id="1" w:name="_Hlk187700189"/>
            <w:r w:rsidRPr="00484F81">
              <w:rPr>
                <w:rFonts w:ascii="Times New Roman" w:hAnsi="Times New Roman" w:cs="Times New Roman"/>
                <w:lang w:val="tr"/>
              </w:rPr>
              <w:t>Toprağın üst katmanlarında (jipsten daha fazla çözünen) çözünebilir tuzların birikmesini ifade eder (tuzlu toprak = çoğu bitki türünü olumsuz etkileyecek miktarda, genellikle 4000 μS m</w:t>
            </w:r>
            <w:r w:rsidRPr="00484F81">
              <w:rPr>
                <w:rFonts w:ascii="Times New Roman" w:hAnsi="Times New Roman" w:cs="Times New Roman"/>
                <w:vertAlign w:val="superscript"/>
                <w:lang w:val="tr"/>
              </w:rPr>
              <w:t>-1</w:t>
            </w:r>
            <w:r w:rsidRPr="00484F81">
              <w:rPr>
                <w:rFonts w:ascii="Times New Roman" w:hAnsi="Times New Roman" w:cs="Times New Roman"/>
                <w:lang w:val="tr"/>
              </w:rPr>
              <w:t>oranında çözünebilir tuz içeren toprak).</w:t>
            </w:r>
            <w:bookmarkEnd w:id="1"/>
          </w:p>
        </w:tc>
        <w:tc>
          <w:tcPr>
            <w:tcW w:w="616" w:type="dxa"/>
          </w:tcPr>
          <w:p w14:paraId="56D3A3E3"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4</w:t>
            </w:r>
          </w:p>
        </w:tc>
      </w:tr>
      <w:tr w:rsidR="003F670C" w:rsidRPr="00484F81" w14:paraId="4C92B38B" w14:textId="77777777" w:rsidTr="2C6C7817">
        <w:tc>
          <w:tcPr>
            <w:tcW w:w="2062" w:type="dxa"/>
          </w:tcPr>
          <w:p w14:paraId="77954E84"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Tarım</w:t>
            </w:r>
          </w:p>
        </w:tc>
        <w:tc>
          <w:tcPr>
            <w:tcW w:w="1469" w:type="dxa"/>
          </w:tcPr>
          <w:p w14:paraId="35F20CD9" w14:textId="77777777" w:rsidR="003F670C" w:rsidRPr="00484F81" w:rsidRDefault="003F670C" w:rsidP="002A67F8">
            <w:pPr>
              <w:jc w:val="both"/>
              <w:rPr>
                <w:rFonts w:ascii="Times New Roman" w:hAnsi="Times New Roman" w:cs="Times New Roman"/>
                <w:lang w:val="en-GB"/>
              </w:rPr>
            </w:pPr>
          </w:p>
        </w:tc>
        <w:tc>
          <w:tcPr>
            <w:tcW w:w="5615" w:type="dxa"/>
          </w:tcPr>
          <w:p w14:paraId="21E3B414" w14:textId="77777777" w:rsidR="003F670C" w:rsidRPr="00484F81" w:rsidRDefault="003F670C" w:rsidP="002A67F8">
            <w:pPr>
              <w:jc w:val="both"/>
              <w:rPr>
                <w:rFonts w:ascii="Times New Roman" w:hAnsi="Times New Roman" w:cs="Times New Roman"/>
                <w:lang w:val="tr"/>
              </w:rPr>
            </w:pPr>
            <w:r w:rsidRPr="00484F81">
              <w:rPr>
                <w:rFonts w:ascii="Times New Roman" w:hAnsi="Times New Roman" w:cs="Times New Roman"/>
                <w:color w:val="404040" w:themeColor="text1" w:themeTint="BF"/>
                <w:lang w:val="tr"/>
              </w:rPr>
              <w:t>Tarım, gıda, tekstil, ilaç ve insan yaşamının sürdürülmesine ve geliştirilmesine yönelik diğer ürünlerin üretilmesi amacına yönelik bitki ve hayvan yetiştirme bilimi, sanatı ve uygulamalarını ifade eder. Tarım, toprağın hazırlanması, ekim, sulama, haşere kontrolü, hasat ve hayvancılık yönetimi gibi çok çeşitli faaliyetleri kapsar. Tarım, uygarlığın temel bir bileşeni olup endüstrilerin başlıca gıda ve hammadde kaynağıdır. Tarım aynı zamanda ekonomik kalkınma, çevre yönetimi ve kültürel uygulamalarda da önemli bir rol oynar.</w:t>
            </w:r>
          </w:p>
        </w:tc>
        <w:tc>
          <w:tcPr>
            <w:tcW w:w="616" w:type="dxa"/>
          </w:tcPr>
          <w:p w14:paraId="3780358A"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38</w:t>
            </w:r>
          </w:p>
        </w:tc>
      </w:tr>
      <w:tr w:rsidR="003F670C" w:rsidRPr="00484F81" w14:paraId="7CDBE005" w14:textId="77777777" w:rsidTr="2C6C7817">
        <w:tc>
          <w:tcPr>
            <w:tcW w:w="2062" w:type="dxa"/>
          </w:tcPr>
          <w:p w14:paraId="32FEAF1E" w14:textId="77777777" w:rsidR="003F670C" w:rsidRPr="00484F81" w:rsidRDefault="003F670C" w:rsidP="002A67F8">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Tarımsal Ormancılık</w:t>
            </w:r>
          </w:p>
        </w:tc>
        <w:tc>
          <w:tcPr>
            <w:tcW w:w="1469" w:type="dxa"/>
          </w:tcPr>
          <w:p w14:paraId="6F90E0A5" w14:textId="77777777" w:rsidR="003F670C" w:rsidRPr="00484F81" w:rsidRDefault="003F670C" w:rsidP="002A67F8">
            <w:pPr>
              <w:jc w:val="both"/>
              <w:rPr>
                <w:rFonts w:ascii="Times New Roman" w:hAnsi="Times New Roman" w:cs="Times New Roman"/>
                <w:lang w:val="en-GB"/>
              </w:rPr>
            </w:pPr>
          </w:p>
        </w:tc>
        <w:tc>
          <w:tcPr>
            <w:tcW w:w="5615" w:type="dxa"/>
          </w:tcPr>
          <w:p w14:paraId="24071679" w14:textId="77777777" w:rsidR="003F670C" w:rsidRPr="00484F81" w:rsidRDefault="003F670C" w:rsidP="002A67F8">
            <w:pPr>
              <w:jc w:val="both"/>
              <w:rPr>
                <w:rFonts w:ascii="Times New Roman" w:hAnsi="Times New Roman" w:cs="Times New Roman"/>
                <w:lang w:val="tr"/>
              </w:rPr>
            </w:pPr>
            <w:r w:rsidRPr="00484F81">
              <w:rPr>
                <w:rFonts w:ascii="Times New Roman" w:hAnsi="Times New Roman" w:cs="Times New Roman"/>
                <w:lang w:val="tr"/>
              </w:rPr>
              <w:t>Aynı arazi parçası üzerinde hem yıllık tarımsal faaliyetlerden (mahsul ve hayvan otlağı gibi) hem de uzun vadeli ağaç üretiminden (örneğin kereste ve benzeri hizmetler) elde edilen üretimin bir arada yapıldığı arazi kullanım türünü ifade eder. Bu, ya tarım arazisine ağaç dikmek ya da ormanlık arazide ürün yetiştirmek (örneğin seyreltmeden sonra) şeklinde gerçekleştirilir. Tarla bitkileri ile orman ağaçlarını birleştiren araziler silvoarable araziler, ağaç gölgelikleri altında mera bulunan ormanlık araziler ise silvopastoral araziler olarak adlandırılır.</w:t>
            </w:r>
          </w:p>
        </w:tc>
        <w:tc>
          <w:tcPr>
            <w:tcW w:w="616" w:type="dxa"/>
          </w:tcPr>
          <w:p w14:paraId="3EF5F59A"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4</w:t>
            </w:r>
          </w:p>
        </w:tc>
      </w:tr>
      <w:tr w:rsidR="003F670C" w:rsidRPr="00484F81" w14:paraId="1A8C74B9" w14:textId="77777777" w:rsidTr="2C6C7817">
        <w:tc>
          <w:tcPr>
            <w:tcW w:w="2062" w:type="dxa"/>
          </w:tcPr>
          <w:p w14:paraId="1A2E202C" w14:textId="77777777" w:rsidR="003F670C" w:rsidRPr="00484F81" w:rsidRDefault="003F670C" w:rsidP="002A67F8">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Tarla kapasitesi</w:t>
            </w:r>
          </w:p>
        </w:tc>
        <w:tc>
          <w:tcPr>
            <w:tcW w:w="1469" w:type="dxa"/>
          </w:tcPr>
          <w:p w14:paraId="7694F14D" w14:textId="77777777" w:rsidR="003F670C" w:rsidRPr="00484F81" w:rsidRDefault="003F670C" w:rsidP="00525540">
            <w:pPr>
              <w:jc w:val="both"/>
              <w:rPr>
                <w:rFonts w:ascii="Times New Roman" w:hAnsi="Times New Roman" w:cs="Times New Roman"/>
                <w:lang w:val="en-GB"/>
              </w:rPr>
            </w:pPr>
          </w:p>
        </w:tc>
        <w:tc>
          <w:tcPr>
            <w:tcW w:w="5615" w:type="dxa"/>
          </w:tcPr>
          <w:p w14:paraId="4AFA1574" w14:textId="77777777" w:rsidR="003F670C" w:rsidRPr="00484F81" w:rsidRDefault="003F670C" w:rsidP="00525540">
            <w:pPr>
              <w:jc w:val="both"/>
              <w:rPr>
                <w:rFonts w:ascii="Times New Roman" w:hAnsi="Times New Roman" w:cs="Times New Roman"/>
                <w:lang w:val="en-GB"/>
              </w:rPr>
            </w:pPr>
            <w:r w:rsidRPr="00484F81">
              <w:rPr>
                <w:rFonts w:ascii="Times New Roman" w:hAnsi="Times New Roman" w:cs="Times New Roman"/>
                <w:lang w:val="tr"/>
              </w:rPr>
              <w:t xml:space="preserve">Toprağın yerçekimine karşı tutabileceği maksimum su miktarını içerdiği ve daha fazla ıslanmanın drenajla sonuçlanacağı nem durumunu ifade eder. Doygunluğu takiben, suyun aşağı yönde hareket hızı önemli ölçüde azaldığında, genellikle yağmurdan veya sulamadan 1-3 gün sonra suyun yerçekimsel veya serbest olarak akıp gitmesinin ardından topraklar genellikle tarla kapasitesine geri döner. Tarla kapasitesi genellikle toprak suyunun kütle ya da hacim oranı şeklinde ifade edilir. </w:t>
            </w:r>
          </w:p>
        </w:tc>
        <w:tc>
          <w:tcPr>
            <w:tcW w:w="616" w:type="dxa"/>
          </w:tcPr>
          <w:p w14:paraId="7715CDFE"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4</w:t>
            </w:r>
          </w:p>
        </w:tc>
      </w:tr>
      <w:tr w:rsidR="003F670C" w:rsidRPr="00484F81" w14:paraId="47F41C9B" w14:textId="77777777" w:rsidTr="2C6C7817">
        <w:tc>
          <w:tcPr>
            <w:tcW w:w="2062" w:type="dxa"/>
          </w:tcPr>
          <w:p w14:paraId="1966A2F8" w14:textId="77777777" w:rsidR="003F670C" w:rsidRPr="00484F81" w:rsidRDefault="003F670C" w:rsidP="00A655ED">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Toprağı zenginleştiren bitkiler</w:t>
            </w:r>
          </w:p>
        </w:tc>
        <w:tc>
          <w:tcPr>
            <w:tcW w:w="1469" w:type="dxa"/>
          </w:tcPr>
          <w:p w14:paraId="1186BBB2" w14:textId="77777777" w:rsidR="003F670C" w:rsidRPr="00484F81" w:rsidRDefault="003F670C" w:rsidP="00A655ED">
            <w:pPr>
              <w:jc w:val="both"/>
              <w:rPr>
                <w:rFonts w:ascii="Times New Roman" w:hAnsi="Times New Roman" w:cs="Times New Roman"/>
                <w:lang w:val="en-GB"/>
              </w:rPr>
            </w:pPr>
          </w:p>
        </w:tc>
        <w:tc>
          <w:tcPr>
            <w:tcW w:w="5615" w:type="dxa"/>
          </w:tcPr>
          <w:p w14:paraId="78DB4698"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lang w:val="tr"/>
              </w:rPr>
              <w:t>Azot fiksasyonu veya organik madde takviyesi gibi çeşitli mekanizmalar yoluyla toprak verimliliğini ve sağlığını iyileştiren bitkileri ifade eder. Azot fikse ederek toprağın kalitesini zenginleştirme özellikleriyle bilinen baklagiller bu bitkilere bir örnektir. Bu süreç, toprağın verimliliğini önemli ölçüde artırır ve müteakip ekinlerin büyümesini destekler; bu yüzden baklagiller sürdürülebilir tarım sistemlerinde çok önemli bir yere sahiptir. Baklagillerin yanı sıra çavdar, yulaf, karabuğday ve sorgum-sudan otu da toprağı zenginleştiren bitkiler olarak ön plana çıkmaktadır.</w:t>
            </w:r>
          </w:p>
        </w:tc>
        <w:tc>
          <w:tcPr>
            <w:tcW w:w="616" w:type="dxa"/>
          </w:tcPr>
          <w:p w14:paraId="0F30387F" w14:textId="77777777" w:rsidR="003F670C" w:rsidRPr="00484F81" w:rsidRDefault="003F670C" w:rsidP="00A655ED">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17, 18</w:t>
            </w:r>
          </w:p>
        </w:tc>
      </w:tr>
      <w:tr w:rsidR="003F670C" w:rsidRPr="00484F81" w14:paraId="48A80FF6" w14:textId="77777777" w:rsidTr="2C6C7817">
        <w:tc>
          <w:tcPr>
            <w:tcW w:w="2062" w:type="dxa"/>
          </w:tcPr>
          <w:p w14:paraId="7AFA302F"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Toprak</w:t>
            </w:r>
          </w:p>
        </w:tc>
        <w:tc>
          <w:tcPr>
            <w:tcW w:w="1469" w:type="dxa"/>
          </w:tcPr>
          <w:p w14:paraId="6B177F05" w14:textId="77777777" w:rsidR="003F670C" w:rsidRPr="00484F81" w:rsidRDefault="003F670C" w:rsidP="00525540">
            <w:pPr>
              <w:jc w:val="both"/>
              <w:rPr>
                <w:rFonts w:ascii="Times New Roman" w:hAnsi="Times New Roman" w:cs="Times New Roman"/>
                <w:lang w:val="en-GB"/>
              </w:rPr>
            </w:pPr>
          </w:p>
        </w:tc>
        <w:tc>
          <w:tcPr>
            <w:tcW w:w="5615" w:type="dxa"/>
          </w:tcPr>
          <w:p w14:paraId="7F70DE12" w14:textId="77777777" w:rsidR="003F670C" w:rsidRPr="00484F81" w:rsidRDefault="003F670C" w:rsidP="00525540">
            <w:pPr>
              <w:jc w:val="both"/>
              <w:rPr>
                <w:rFonts w:ascii="Times New Roman" w:hAnsi="Times New Roman" w:cs="Times New Roman"/>
                <w:lang w:val="tr"/>
              </w:rPr>
            </w:pPr>
            <w:r w:rsidRPr="00484F81">
              <w:rPr>
                <w:rFonts w:ascii="Times New Roman" w:hAnsi="Times New Roman" w:cs="Times New Roman"/>
                <w:lang w:val="tr"/>
              </w:rPr>
              <w:t>Yer kabuğunun en üst katmanında oluşan ve yeryüzündeki yaşamın temel alt katmanlarından birini oluşturan biyolojik olarak aktif, gözenekli ortamı ifade eder. Toprak, fiziksel, kimyasal ve biyolojik süreçlerin etkileşimiyle zaman içinde oluşan karmaşık, dinamik ve canlı bir sistemdir. Toprak, tümü bitkilerin büyümesini destekleyen ve toprak organizmaları için bir yaşam alanı sağlayan bir matris oluşturmak üzere birbiriyle etkileşime giren farklı boyutlardaki mineral parçacıkları, organik maddeler, su ve havadan oluşur.</w:t>
            </w:r>
          </w:p>
        </w:tc>
        <w:tc>
          <w:tcPr>
            <w:tcW w:w="616" w:type="dxa"/>
          </w:tcPr>
          <w:p w14:paraId="2804511A"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2</w:t>
            </w:r>
          </w:p>
        </w:tc>
      </w:tr>
      <w:tr w:rsidR="003F670C" w:rsidRPr="00484F81" w14:paraId="4B782FD8" w14:textId="77777777" w:rsidTr="2C6C7817">
        <w:tc>
          <w:tcPr>
            <w:tcW w:w="2062" w:type="dxa"/>
          </w:tcPr>
          <w:p w14:paraId="72792F13"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lastRenderedPageBreak/>
              <w:t>Toprak agregatları</w:t>
            </w:r>
          </w:p>
        </w:tc>
        <w:tc>
          <w:tcPr>
            <w:tcW w:w="1469" w:type="dxa"/>
          </w:tcPr>
          <w:p w14:paraId="2E0FDC85" w14:textId="77777777" w:rsidR="003F670C" w:rsidRPr="00484F81" w:rsidRDefault="003F670C" w:rsidP="00525540">
            <w:pPr>
              <w:jc w:val="both"/>
              <w:rPr>
                <w:rFonts w:ascii="Times New Roman" w:hAnsi="Times New Roman" w:cs="Times New Roman"/>
                <w:lang w:val="en-GB"/>
              </w:rPr>
            </w:pPr>
          </w:p>
        </w:tc>
        <w:tc>
          <w:tcPr>
            <w:tcW w:w="5615" w:type="dxa"/>
          </w:tcPr>
          <w:p w14:paraId="318BB475" w14:textId="77777777" w:rsidR="003F670C" w:rsidRPr="00484F81" w:rsidRDefault="003F670C" w:rsidP="00525540">
            <w:pPr>
              <w:jc w:val="both"/>
              <w:rPr>
                <w:rFonts w:ascii="Times New Roman" w:hAnsi="Times New Roman" w:cs="Times New Roman"/>
                <w:lang w:val="en-GB"/>
              </w:rPr>
            </w:pPr>
            <w:r w:rsidRPr="00484F81">
              <w:rPr>
                <w:rFonts w:ascii="Times New Roman" w:hAnsi="Times New Roman" w:cs="Times New Roman"/>
                <w:lang w:val="tr"/>
              </w:rPr>
              <w:t>Toprak agregatları, çeşitli kuvvetlerle birbirine bağlanmış iki veya daha fazla toprak parçacığından oluşur. Toprak agregatları, çeşitli şekil ve boyutlardaki toprak parçacıklarıdır.</w:t>
            </w:r>
          </w:p>
        </w:tc>
        <w:tc>
          <w:tcPr>
            <w:tcW w:w="616" w:type="dxa"/>
          </w:tcPr>
          <w:p w14:paraId="5796B3AF"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3</w:t>
            </w:r>
          </w:p>
        </w:tc>
      </w:tr>
      <w:tr w:rsidR="003F670C" w:rsidRPr="00484F81" w14:paraId="2F3D0061" w14:textId="77777777" w:rsidTr="2C6C7817">
        <w:tc>
          <w:tcPr>
            <w:tcW w:w="2062" w:type="dxa"/>
          </w:tcPr>
          <w:p w14:paraId="5CD04131"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Toprak bozulması</w:t>
            </w:r>
          </w:p>
        </w:tc>
        <w:tc>
          <w:tcPr>
            <w:tcW w:w="1469" w:type="dxa"/>
          </w:tcPr>
          <w:p w14:paraId="3C61D8D5" w14:textId="77777777" w:rsidR="003F670C" w:rsidRPr="00484F81" w:rsidRDefault="003F670C" w:rsidP="00525540">
            <w:pPr>
              <w:jc w:val="both"/>
              <w:rPr>
                <w:rFonts w:ascii="Times New Roman" w:hAnsi="Times New Roman" w:cs="Times New Roman"/>
                <w:lang w:val="en-GB"/>
              </w:rPr>
            </w:pPr>
          </w:p>
        </w:tc>
        <w:tc>
          <w:tcPr>
            <w:tcW w:w="5615" w:type="dxa"/>
          </w:tcPr>
          <w:p w14:paraId="10C829AA" w14:textId="77777777" w:rsidR="003F670C" w:rsidRPr="00484F81" w:rsidRDefault="003F670C" w:rsidP="00525540">
            <w:pPr>
              <w:jc w:val="both"/>
              <w:rPr>
                <w:rFonts w:ascii="Times New Roman" w:hAnsi="Times New Roman" w:cs="Times New Roman"/>
                <w:lang w:val="en-GB"/>
              </w:rPr>
            </w:pPr>
            <w:r w:rsidRPr="00484F81">
              <w:rPr>
                <w:rFonts w:ascii="Times New Roman" w:hAnsi="Times New Roman" w:cs="Times New Roman"/>
                <w:lang w:val="tr"/>
              </w:rPr>
              <w:t>Sıkışma, erozyon, tuzlanma gibi toprağın özelliklerinin ve işlevlerinin bozulmasına veya bir bütün olarak toprağın tahrip olmasına yol açan ve genellikle insan faaliyetleri (uygunsuz toprak kullanımı ve ekim uygulamaları, toprak yalıtımı) tarafından hızlandırılan olumsuz süreci ifade eder.</w:t>
            </w:r>
          </w:p>
        </w:tc>
        <w:tc>
          <w:tcPr>
            <w:tcW w:w="616" w:type="dxa"/>
          </w:tcPr>
          <w:p w14:paraId="69F320C4"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2,3</w:t>
            </w:r>
          </w:p>
        </w:tc>
      </w:tr>
      <w:tr w:rsidR="003F670C" w:rsidRPr="00484F81" w14:paraId="12462E13" w14:textId="77777777" w:rsidTr="2C6C7817">
        <w:tc>
          <w:tcPr>
            <w:tcW w:w="2062" w:type="dxa"/>
          </w:tcPr>
          <w:p w14:paraId="524468C5"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Toprak canlıları</w:t>
            </w:r>
          </w:p>
        </w:tc>
        <w:tc>
          <w:tcPr>
            <w:tcW w:w="1469" w:type="dxa"/>
          </w:tcPr>
          <w:p w14:paraId="25743E1C" w14:textId="77777777" w:rsidR="003F670C" w:rsidRPr="00484F81" w:rsidRDefault="003F670C" w:rsidP="002A67F8">
            <w:pPr>
              <w:jc w:val="both"/>
              <w:rPr>
                <w:rFonts w:ascii="Times New Roman" w:hAnsi="Times New Roman" w:cs="Times New Roman"/>
                <w:lang w:val="en-GB"/>
              </w:rPr>
            </w:pPr>
          </w:p>
        </w:tc>
        <w:tc>
          <w:tcPr>
            <w:tcW w:w="5615" w:type="dxa"/>
          </w:tcPr>
          <w:p w14:paraId="777F8B44" w14:textId="77777777" w:rsidR="003F670C" w:rsidRPr="00484F81" w:rsidRDefault="003F670C" w:rsidP="002A67F8">
            <w:pPr>
              <w:jc w:val="both"/>
              <w:rPr>
                <w:rFonts w:ascii="Times New Roman" w:hAnsi="Times New Roman" w:cs="Times New Roman"/>
                <w:lang w:val="en-GB"/>
              </w:rPr>
            </w:pPr>
            <w:r w:rsidRPr="00484F81">
              <w:rPr>
                <w:rFonts w:ascii="Times New Roman" w:hAnsi="Times New Roman" w:cs="Times New Roman"/>
                <w:lang w:val="tr"/>
              </w:rPr>
              <w:t>Toprak organizmaları topluluğunu (örneğin bakteriler, mantarlar, nematodlar, toprak solucanları, böcekler, tek hücreliler) ifade eder.</w:t>
            </w:r>
          </w:p>
        </w:tc>
        <w:tc>
          <w:tcPr>
            <w:tcW w:w="616" w:type="dxa"/>
          </w:tcPr>
          <w:p w14:paraId="730E9A66"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3</w:t>
            </w:r>
          </w:p>
        </w:tc>
      </w:tr>
      <w:tr w:rsidR="003F670C" w:rsidRPr="00484F81" w14:paraId="251420F2" w14:textId="77777777" w:rsidTr="2C6C7817">
        <w:tc>
          <w:tcPr>
            <w:tcW w:w="2062" w:type="dxa"/>
          </w:tcPr>
          <w:p w14:paraId="29623B7D"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Toprak ekosistemi hizmetleri</w:t>
            </w:r>
          </w:p>
        </w:tc>
        <w:tc>
          <w:tcPr>
            <w:tcW w:w="1469" w:type="dxa"/>
          </w:tcPr>
          <w:p w14:paraId="3890E0CF" w14:textId="77777777" w:rsidR="003F670C" w:rsidRPr="00484F81" w:rsidRDefault="003F670C" w:rsidP="00525540">
            <w:pPr>
              <w:jc w:val="both"/>
              <w:rPr>
                <w:rFonts w:ascii="Times New Roman" w:hAnsi="Times New Roman" w:cs="Times New Roman"/>
                <w:lang w:val="en-GB"/>
              </w:rPr>
            </w:pPr>
          </w:p>
        </w:tc>
        <w:tc>
          <w:tcPr>
            <w:tcW w:w="5615" w:type="dxa"/>
          </w:tcPr>
          <w:p w14:paraId="290D3A18" w14:textId="77777777" w:rsidR="003F670C" w:rsidRPr="00484F81" w:rsidRDefault="003F670C" w:rsidP="00525540">
            <w:pPr>
              <w:jc w:val="both"/>
              <w:rPr>
                <w:rFonts w:ascii="Times New Roman" w:hAnsi="Times New Roman" w:cs="Times New Roman"/>
                <w:lang w:val="en-GB"/>
              </w:rPr>
            </w:pPr>
            <w:r w:rsidRPr="00484F81">
              <w:rPr>
                <w:rFonts w:ascii="Times New Roman" w:hAnsi="Times New Roman" w:cs="Times New Roman"/>
                <w:lang w:val="tr"/>
              </w:rPr>
              <w:t>Topraklar ve toprakların kimyasal, fiziksel ve biyolojik özellikleri, süreçleri ve işlevleri tarafından doğrudan ve ölçülebilir şekilde kontrol edilen veya sağlanan ekosistem hizmetlerinin toprakla ilgili alt kümesini ifade eder.</w:t>
            </w:r>
          </w:p>
        </w:tc>
        <w:tc>
          <w:tcPr>
            <w:tcW w:w="616" w:type="dxa"/>
          </w:tcPr>
          <w:p w14:paraId="7B7A7CD6"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2</w:t>
            </w:r>
          </w:p>
        </w:tc>
      </w:tr>
      <w:tr w:rsidR="003F670C" w:rsidRPr="00484F81" w14:paraId="3A82D52F" w14:textId="77777777" w:rsidTr="2C6C7817">
        <w:tc>
          <w:tcPr>
            <w:tcW w:w="2062" w:type="dxa"/>
          </w:tcPr>
          <w:p w14:paraId="1040997E" w14:textId="77777777" w:rsidR="003F670C" w:rsidRPr="00484F81" w:rsidRDefault="003F670C" w:rsidP="002A67F8">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Toprak erozyonu</w:t>
            </w:r>
          </w:p>
        </w:tc>
        <w:tc>
          <w:tcPr>
            <w:tcW w:w="1469" w:type="dxa"/>
          </w:tcPr>
          <w:p w14:paraId="194D2562" w14:textId="77777777" w:rsidR="003F670C" w:rsidRPr="00484F81" w:rsidRDefault="003F670C" w:rsidP="002A67F8">
            <w:pPr>
              <w:jc w:val="both"/>
              <w:rPr>
                <w:rFonts w:ascii="Times New Roman" w:hAnsi="Times New Roman" w:cs="Times New Roman"/>
                <w:lang w:val="en-GB"/>
              </w:rPr>
            </w:pPr>
          </w:p>
        </w:tc>
        <w:tc>
          <w:tcPr>
            <w:tcW w:w="5615" w:type="dxa"/>
          </w:tcPr>
          <w:p w14:paraId="3F9FD354" w14:textId="77777777" w:rsidR="003F670C" w:rsidRPr="00484F81" w:rsidRDefault="003F670C" w:rsidP="00E03E8D">
            <w:pPr>
              <w:jc w:val="both"/>
              <w:rPr>
                <w:rFonts w:ascii="Times New Roman" w:hAnsi="Times New Roman" w:cs="Times New Roman"/>
                <w:lang w:val="tr"/>
              </w:rPr>
            </w:pPr>
            <w:bookmarkStart w:id="2" w:name="_Hlk187700130"/>
            <w:r w:rsidRPr="00484F81">
              <w:rPr>
                <w:rFonts w:ascii="Times New Roman" w:hAnsi="Times New Roman" w:cs="Times New Roman"/>
                <w:lang w:val="tr"/>
              </w:rPr>
              <w:t xml:space="preserve">Erozyon, arazinin veya toprağın bir veya daha fazla süreç sonucunda taşınmasını ifade eder. Erozyonun başlıca sebepleri arasında su (çizgi erozyonu, çizgiler arası erozyon, oluk erozyonu, kar erimesi, nehir ve göl kıyısı erozyonu), rüzgar (kuruma ve rüzgar esintisi), translokasyon (toprak işleme, arazi tesviyesi, köklü bitkilerin hasadı, hayvanların ezmesi ve yuva yapması) ve jeolojik faktörler (yeraltı suyundan kaynaklanan iç yeraltı erozyonu, kıyı erozyonu ve toprak kaymaları) yer alır. Erozyon aynı zamanda aşırı otlatma, ormansızlaşma veya yanlış makine kullanımı (örneğin bir tepe yamacının sürülmesi) gibi kötü arazi yönetimi nedeniyle de artabilir. </w:t>
            </w:r>
          </w:p>
          <w:bookmarkEnd w:id="2"/>
          <w:p w14:paraId="717B163A" w14:textId="77777777" w:rsidR="003F670C" w:rsidRPr="00484F81" w:rsidRDefault="003F670C" w:rsidP="00E03E8D">
            <w:pPr>
              <w:jc w:val="both"/>
              <w:rPr>
                <w:rFonts w:ascii="Times New Roman" w:hAnsi="Times New Roman" w:cs="Times New Roman"/>
                <w:lang w:val="tr"/>
              </w:rPr>
            </w:pPr>
            <w:r w:rsidRPr="00484F81">
              <w:rPr>
                <w:rFonts w:ascii="Times New Roman" w:hAnsi="Times New Roman" w:cs="Times New Roman"/>
                <w:lang w:val="tr"/>
              </w:rPr>
              <w:t xml:space="preserve">Toprak erozyonu zinciri örneği </w:t>
            </w:r>
            <w:r w:rsidRPr="00484F81">
              <w:rPr>
                <w:rFonts w:ascii="Times New Roman" w:hAnsi="Times New Roman" w:cs="Times New Roman"/>
                <w:color w:val="000000" w:themeColor="text1"/>
                <w:lang w:val="tr"/>
              </w:rPr>
              <w:t xml:space="preserve">Radziuk ve Świtoniak (2022; </w:t>
            </w:r>
            <w:r w:rsidRPr="00484F81">
              <w:rPr>
                <w:rFonts w:ascii="Times New Roman" w:hAnsi="Times New Roman" w:cs="Times New Roman"/>
                <w:lang w:val="tr"/>
              </w:rPr>
              <w:t>6).</w:t>
            </w:r>
          </w:p>
          <w:p w14:paraId="1A10B1AC" w14:textId="77777777" w:rsidR="003F670C" w:rsidRPr="00484F81" w:rsidRDefault="003F670C" w:rsidP="00E03E8D">
            <w:pPr>
              <w:jc w:val="both"/>
              <w:rPr>
                <w:rFonts w:ascii="Times New Roman" w:hAnsi="Times New Roman" w:cs="Times New Roman"/>
                <w:lang w:val="tr"/>
              </w:rPr>
            </w:pPr>
          </w:p>
          <w:p w14:paraId="0D7CDE0B" w14:textId="77777777" w:rsidR="003F670C" w:rsidRPr="00484F81" w:rsidRDefault="003F670C" w:rsidP="002A67F8">
            <w:pPr>
              <w:jc w:val="both"/>
              <w:rPr>
                <w:rFonts w:ascii="Times New Roman" w:hAnsi="Times New Roman" w:cs="Times New Roman"/>
                <w:lang w:val="en-GB"/>
              </w:rPr>
            </w:pPr>
            <w:r w:rsidRPr="00484F81">
              <w:rPr>
                <w:rFonts w:ascii="Times New Roman" w:hAnsi="Times New Roman" w:cs="Times New Roman"/>
                <w:noProof/>
                <w:lang w:val="tr"/>
              </w:rPr>
              <w:drawing>
                <wp:inline distT="0" distB="0" distL="0" distR="0" wp14:anchorId="43CFAFBA" wp14:editId="11953975">
                  <wp:extent cx="3393110" cy="3214756"/>
                  <wp:effectExtent l="0" t="0" r="0" b="0"/>
                  <wp:docPr id="5909537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01980" cy="3223160"/>
                          </a:xfrm>
                          <a:prstGeom prst="rect">
                            <a:avLst/>
                          </a:prstGeom>
                        </pic:spPr>
                      </pic:pic>
                    </a:graphicData>
                  </a:graphic>
                </wp:inline>
              </w:drawing>
            </w:r>
          </w:p>
          <w:p w14:paraId="0A5EF536" w14:textId="77777777" w:rsidR="003F670C" w:rsidRPr="00484F81" w:rsidRDefault="003F670C" w:rsidP="002A67F8">
            <w:pPr>
              <w:jc w:val="both"/>
              <w:rPr>
                <w:rStyle w:val="Hyperlink"/>
                <w:rFonts w:ascii="Times New Roman" w:hAnsi="Times New Roman" w:cs="Times New Roman"/>
                <w:color w:val="000000" w:themeColor="text1"/>
                <w:u w:val="none"/>
              </w:rPr>
            </w:pPr>
            <w:r w:rsidRPr="00484F81">
              <w:rPr>
                <w:rFonts w:ascii="Times New Roman" w:hAnsi="Times New Roman" w:cs="Times New Roman"/>
                <w:lang w:val="tr"/>
              </w:rPr>
              <w:t>Kaynak:</w:t>
            </w:r>
            <w:r w:rsidRPr="00484F81">
              <w:rPr>
                <w:rFonts w:ascii="Times New Roman" w:hAnsi="Times New Roman" w:cs="Times New Roman"/>
                <w:color w:val="000000" w:themeColor="text1"/>
                <w:lang w:val="tr"/>
              </w:rPr>
              <w:t xml:space="preserve"> Radziuk and Świtoniak. 2022. Agronomy (MDPI), </w:t>
            </w:r>
            <w:hyperlink r:id="rId16" w:history="1">
              <w:r w:rsidRPr="00484F81">
                <w:rPr>
                  <w:rStyle w:val="Hyperlink"/>
                  <w:rFonts w:ascii="Times New Roman" w:hAnsi="Times New Roman" w:cs="Times New Roman"/>
                  <w:color w:val="000000" w:themeColor="text1"/>
                  <w:u w:val="none"/>
                  <w:lang w:val="tr"/>
                </w:rPr>
                <w:t>https://doi.org/10.3390/agronomy12112595</w:t>
              </w:r>
            </w:hyperlink>
          </w:p>
          <w:p w14:paraId="77F1C858" w14:textId="77777777" w:rsidR="003F670C" w:rsidRPr="00484F81" w:rsidRDefault="003F670C" w:rsidP="002A67F8">
            <w:pPr>
              <w:jc w:val="both"/>
              <w:rPr>
                <w:rFonts w:ascii="Times New Roman" w:hAnsi="Times New Roman" w:cs="Times New Roman"/>
              </w:rPr>
            </w:pPr>
          </w:p>
        </w:tc>
        <w:tc>
          <w:tcPr>
            <w:tcW w:w="616" w:type="dxa"/>
          </w:tcPr>
          <w:p w14:paraId="119FCCDC"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13,6</w:t>
            </w:r>
          </w:p>
        </w:tc>
      </w:tr>
      <w:tr w:rsidR="003F670C" w:rsidRPr="00484F81" w14:paraId="09B18D39" w14:textId="77777777" w:rsidTr="2C6C7817">
        <w:tc>
          <w:tcPr>
            <w:tcW w:w="2062" w:type="dxa"/>
          </w:tcPr>
          <w:p w14:paraId="48394DEE" w14:textId="77777777" w:rsidR="003F670C" w:rsidRPr="00484F81" w:rsidRDefault="003F670C" w:rsidP="00A655ED">
            <w:pPr>
              <w:rPr>
                <w:rFonts w:ascii="Times New Roman" w:hAnsi="Times New Roman" w:cs="Times New Roman"/>
                <w:b/>
                <w:color w:val="BF4E14" w:themeColor="accent2" w:themeShade="BF"/>
                <w:lang w:val="en-GB"/>
              </w:rPr>
            </w:pPr>
            <w:r w:rsidRPr="00484F81">
              <w:rPr>
                <w:rFonts w:ascii="Times New Roman" w:hAnsi="Times New Roman" w:cs="Times New Roman"/>
                <w:b/>
                <w:color w:val="3A7C22" w:themeColor="accent6" w:themeShade="BF"/>
                <w:lang w:val="tr"/>
              </w:rPr>
              <w:lastRenderedPageBreak/>
              <w:t>Toprak horizonu</w:t>
            </w:r>
          </w:p>
        </w:tc>
        <w:tc>
          <w:tcPr>
            <w:tcW w:w="1469" w:type="dxa"/>
          </w:tcPr>
          <w:p w14:paraId="596F85D7" w14:textId="77777777" w:rsidR="003F670C" w:rsidRPr="00484F81" w:rsidRDefault="003F670C" w:rsidP="00A655ED">
            <w:pPr>
              <w:jc w:val="both"/>
              <w:rPr>
                <w:rFonts w:ascii="Times New Roman" w:hAnsi="Times New Roman" w:cs="Times New Roman"/>
                <w:lang w:val="en-GB"/>
              </w:rPr>
            </w:pPr>
          </w:p>
        </w:tc>
        <w:tc>
          <w:tcPr>
            <w:tcW w:w="5615" w:type="dxa"/>
          </w:tcPr>
          <w:p w14:paraId="266E75E7"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lang w:val="tr"/>
              </w:rPr>
              <w:t>Toprak oluşum süreçlerinin bir sonucu olarak toprak profilinde oluşan katmanlardan birini ifade eder. Bir horizon, bazen belirgin bir katman şeklinde görünebilir olsa da horizonların sınırları genellikle daha az belirgindir. Bahçe topraklarında ve çok fazla toprak hareketinin olduğu yerlerde bu katmanlar kaybolabilir veya gözlemlenmesi zorlaşabilir.</w:t>
            </w:r>
          </w:p>
        </w:tc>
        <w:tc>
          <w:tcPr>
            <w:tcW w:w="616" w:type="dxa"/>
          </w:tcPr>
          <w:p w14:paraId="76ADEEDD" w14:textId="77777777" w:rsidR="003F670C" w:rsidRPr="00484F81" w:rsidRDefault="003F670C" w:rsidP="00A655ED">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13</w:t>
            </w:r>
          </w:p>
        </w:tc>
      </w:tr>
      <w:tr w:rsidR="003F670C" w:rsidRPr="00484F81" w14:paraId="0A8FD995" w14:textId="77777777" w:rsidTr="2C6C7817">
        <w:tc>
          <w:tcPr>
            <w:tcW w:w="2062" w:type="dxa"/>
          </w:tcPr>
          <w:p w14:paraId="7B837DC6" w14:textId="77777777" w:rsidR="003F670C" w:rsidRPr="00484F81" w:rsidRDefault="003F670C" w:rsidP="2C6C7817">
            <w:pPr>
              <w:rPr>
                <w:rFonts w:ascii="Times New Roman" w:hAnsi="Times New Roman" w:cs="Times New Roman"/>
                <w:b/>
                <w:bCs/>
                <w:color w:val="3A7C22" w:themeColor="accent6" w:themeShade="BF"/>
                <w:lang w:val="en-GB"/>
              </w:rPr>
            </w:pPr>
            <w:r w:rsidRPr="00484F81">
              <w:rPr>
                <w:rFonts w:ascii="Times New Roman" w:hAnsi="Times New Roman" w:cs="Times New Roman"/>
                <w:b/>
                <w:bCs/>
                <w:color w:val="3A7C22" w:themeColor="accent6" w:themeShade="BF"/>
                <w:lang w:val="tr"/>
              </w:rPr>
              <w:t>Toprak işlemesiz tarım</w:t>
            </w:r>
          </w:p>
        </w:tc>
        <w:tc>
          <w:tcPr>
            <w:tcW w:w="1469" w:type="dxa"/>
          </w:tcPr>
          <w:p w14:paraId="7E7D0C5D" w14:textId="77777777" w:rsidR="003F670C" w:rsidRPr="00484F81" w:rsidRDefault="003F670C" w:rsidP="00525540">
            <w:pPr>
              <w:jc w:val="both"/>
              <w:rPr>
                <w:rFonts w:ascii="Times New Roman" w:hAnsi="Times New Roman" w:cs="Times New Roman"/>
                <w:lang w:val="en-GB"/>
              </w:rPr>
            </w:pPr>
          </w:p>
        </w:tc>
        <w:tc>
          <w:tcPr>
            <w:tcW w:w="5615" w:type="dxa"/>
          </w:tcPr>
          <w:p w14:paraId="1E503A4F" w14:textId="77777777" w:rsidR="003F670C" w:rsidRPr="00484F81" w:rsidRDefault="003F670C" w:rsidP="00525540">
            <w:pPr>
              <w:jc w:val="both"/>
              <w:rPr>
                <w:rFonts w:ascii="Times New Roman" w:hAnsi="Times New Roman" w:cs="Times New Roman"/>
                <w:lang w:val="tr"/>
              </w:rPr>
            </w:pPr>
            <w:r w:rsidRPr="00484F81">
              <w:rPr>
                <w:rFonts w:ascii="Times New Roman" w:hAnsi="Times New Roman" w:cs="Times New Roman"/>
                <w:lang w:val="tr"/>
              </w:rPr>
              <w:t>Yıllık mahsul üretimi için Koruyucu Tarımda uygulanan başlıca agronomik uygulamayı ifade eder. Toprağın toprak işlemeyle bozulmasını önleyen bir tarım yöntemi olarak tanımlanır. Toprak işlemesiz tarımda ürün ekiminden hemen sonra alanın en az %30'u bitki kalıntıları ile kaplanır. Ekinler, tohumları önceki ekinlerden kalan bitki kalıntılarına yerleştirebilen makineler kullanılarak ekilir.</w:t>
            </w:r>
          </w:p>
          <w:p w14:paraId="06D9992F" w14:textId="77777777" w:rsidR="003F670C" w:rsidRPr="00484F81" w:rsidRDefault="003F670C" w:rsidP="00525540">
            <w:pPr>
              <w:jc w:val="both"/>
              <w:rPr>
                <w:rFonts w:ascii="Times New Roman" w:hAnsi="Times New Roman" w:cs="Times New Roman"/>
                <w:lang w:val="tr"/>
              </w:rPr>
            </w:pPr>
            <w:r w:rsidRPr="00484F81">
              <w:rPr>
                <w:rFonts w:ascii="Times New Roman" w:hAnsi="Times New Roman" w:cs="Times New Roman"/>
                <w:lang w:val="tr"/>
              </w:rPr>
              <w:t>Toprak işlemesiz tarım, yıllık mahsul üretimi için Koruyucu Tarımı karakterize eden başlıca agronomik uygulamadır ve en yüksek düzeyde toprak koruması sağlar. Bunun nedeni toprağın mekanik olarak işlenmesini ortadan kaldırmasıdır. Buna ek olarak, kurak iklimlerde toprak işlemesiz tarım, genellikle toprak inversiyonu gerektiren geleneksel toprak işlemeyle artan toprak yüzeyinden buharlaşma kayıplarını azaltarak suyun toprakta tutulmasına yardımcı olur.</w:t>
            </w:r>
          </w:p>
        </w:tc>
        <w:tc>
          <w:tcPr>
            <w:tcW w:w="616" w:type="dxa"/>
          </w:tcPr>
          <w:p w14:paraId="64D64131"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1</w:t>
            </w:r>
          </w:p>
        </w:tc>
      </w:tr>
      <w:tr w:rsidR="003F670C" w:rsidRPr="00484F81" w14:paraId="7B705ADE" w14:textId="77777777" w:rsidTr="2C6C7817">
        <w:tc>
          <w:tcPr>
            <w:tcW w:w="2062" w:type="dxa"/>
          </w:tcPr>
          <w:p w14:paraId="4B9AE85E" w14:textId="77777777" w:rsidR="003F670C" w:rsidRPr="00484F81" w:rsidRDefault="003F670C" w:rsidP="002A67F8">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Toprak işlevleri</w:t>
            </w:r>
          </w:p>
        </w:tc>
        <w:tc>
          <w:tcPr>
            <w:tcW w:w="1469" w:type="dxa"/>
          </w:tcPr>
          <w:p w14:paraId="10D143AE" w14:textId="77777777" w:rsidR="003F670C" w:rsidRPr="00484F81" w:rsidRDefault="003F670C" w:rsidP="00525540">
            <w:pPr>
              <w:jc w:val="both"/>
              <w:rPr>
                <w:rFonts w:ascii="Times New Roman" w:hAnsi="Times New Roman" w:cs="Times New Roman"/>
                <w:lang w:val="en-GB"/>
              </w:rPr>
            </w:pPr>
          </w:p>
        </w:tc>
        <w:tc>
          <w:tcPr>
            <w:tcW w:w="5615" w:type="dxa"/>
          </w:tcPr>
          <w:p w14:paraId="471E2268" w14:textId="77777777" w:rsidR="003F670C" w:rsidRPr="00484F81" w:rsidRDefault="003F670C" w:rsidP="00525540">
            <w:pPr>
              <w:jc w:val="both"/>
              <w:rPr>
                <w:rFonts w:ascii="Times New Roman" w:hAnsi="Times New Roman" w:cs="Times New Roman"/>
                <w:lang w:val="en-GB"/>
              </w:rPr>
            </w:pPr>
            <w:r w:rsidRPr="00484F81">
              <w:rPr>
                <w:rFonts w:ascii="Times New Roman" w:hAnsi="Times New Roman" w:cs="Times New Roman"/>
                <w:lang w:val="tr"/>
              </w:rPr>
              <w:t>Doğrudan veya dolaylı olarak toprakla ilişkili olan ekosistem işlevlerini ifade eder. Topraklar birçok işlevi yerine getirir ve sağlıklı bir toprak bize temiz hava ve su, bereketli mahsuller ve ormanlar, verimli meralar, zengin bir yaban hayatı ve güzel manzaralar sunar. Toprak tüm bunları beş temel işlevi yerine getirerek gerçekleştirir:</w:t>
            </w:r>
          </w:p>
          <w:p w14:paraId="6A1AD276" w14:textId="77777777" w:rsidR="003F670C" w:rsidRPr="00484F81" w:rsidRDefault="003F670C" w:rsidP="00525540">
            <w:pPr>
              <w:pStyle w:val="ListParagraph"/>
              <w:numPr>
                <w:ilvl w:val="0"/>
                <w:numId w:val="2"/>
              </w:numPr>
              <w:ind w:left="244" w:hanging="244"/>
              <w:jc w:val="both"/>
              <w:rPr>
                <w:rFonts w:ascii="Times New Roman" w:hAnsi="Times New Roman" w:cs="Times New Roman"/>
                <w:lang w:val="tr"/>
              </w:rPr>
            </w:pPr>
            <w:r w:rsidRPr="00484F81">
              <w:rPr>
                <w:rFonts w:ascii="Times New Roman" w:hAnsi="Times New Roman" w:cs="Times New Roman"/>
                <w:lang w:val="tr"/>
              </w:rPr>
              <w:t>Besin Döngüsü: Toprak besinleri ve diğer elementleri depolar, salınımını düzenler ve döngüye sokar. Su döngüsüne benzeyen bu biyojeokimyasal süreçler sırasında besinler, bitkilerin kullanabileceği biçimlere dönüştürülebilir, toprakta tutulabilir ve hatta havaya ya da suya karışabilir.</w:t>
            </w:r>
          </w:p>
          <w:p w14:paraId="2208DB2D" w14:textId="77777777" w:rsidR="003F670C" w:rsidRPr="00484F81" w:rsidRDefault="003F670C" w:rsidP="00525540">
            <w:pPr>
              <w:pStyle w:val="ListParagraph"/>
              <w:numPr>
                <w:ilvl w:val="0"/>
                <w:numId w:val="2"/>
              </w:numPr>
              <w:ind w:left="244" w:hanging="244"/>
              <w:jc w:val="both"/>
              <w:rPr>
                <w:rFonts w:ascii="Times New Roman" w:hAnsi="Times New Roman" w:cs="Times New Roman"/>
                <w:lang w:val="tr"/>
              </w:rPr>
            </w:pPr>
            <w:r w:rsidRPr="00484F81">
              <w:rPr>
                <w:rFonts w:ascii="Times New Roman" w:hAnsi="Times New Roman" w:cs="Times New Roman"/>
                <w:lang w:val="tr"/>
              </w:rPr>
              <w:t>Su İlişkileri: Toprak, azot, fosfor, pestisitler ve suda çözünmüş diğer besin maddeleri ve bileşikleri içeren su ve çözünmüş maddelerin drenajını, akışını ve depolanmasını düzenleyebilir. Düzgün şekilde işleyen bir toprak, suyu bölerek yeraltı sularının yeniden dolmasını ve bitkiler ile toprak hayvanları tarafından kullanılmasını sağlar.</w:t>
            </w:r>
          </w:p>
          <w:p w14:paraId="48CD0CD0" w14:textId="77777777" w:rsidR="003F670C" w:rsidRPr="00484F81" w:rsidRDefault="003F670C" w:rsidP="00525540">
            <w:pPr>
              <w:pStyle w:val="ListParagraph"/>
              <w:numPr>
                <w:ilvl w:val="0"/>
                <w:numId w:val="2"/>
              </w:numPr>
              <w:ind w:left="244" w:hanging="244"/>
              <w:jc w:val="both"/>
              <w:rPr>
                <w:rFonts w:ascii="Times New Roman" w:hAnsi="Times New Roman" w:cs="Times New Roman"/>
                <w:lang w:val="tr"/>
              </w:rPr>
            </w:pPr>
            <w:r w:rsidRPr="00484F81">
              <w:rPr>
                <w:rFonts w:ascii="Times New Roman" w:hAnsi="Times New Roman" w:cs="Times New Roman"/>
                <w:lang w:val="tr"/>
              </w:rPr>
              <w:t>Biyoçeşitlilik ve Habitat: Toprak, genellikle çeşitlilik içeren fiziksel, kimyasal ve biyolojik bir yaşam alanı sağlayarak çeşitli bitki, hayvan ve toprak mikroorganizmalarının büyümesini destekler.</w:t>
            </w:r>
          </w:p>
          <w:p w14:paraId="7D715BA1" w14:textId="77777777" w:rsidR="003F670C" w:rsidRPr="00484F81" w:rsidRDefault="003F670C" w:rsidP="00525540">
            <w:pPr>
              <w:pStyle w:val="ListParagraph"/>
              <w:numPr>
                <w:ilvl w:val="0"/>
                <w:numId w:val="2"/>
              </w:numPr>
              <w:ind w:left="244" w:hanging="244"/>
              <w:jc w:val="both"/>
              <w:rPr>
                <w:rFonts w:ascii="Times New Roman" w:hAnsi="Times New Roman" w:cs="Times New Roman"/>
                <w:lang w:val="tr"/>
              </w:rPr>
            </w:pPr>
            <w:r w:rsidRPr="00484F81">
              <w:rPr>
                <w:rFonts w:ascii="Times New Roman" w:hAnsi="Times New Roman" w:cs="Times New Roman"/>
                <w:lang w:val="tr"/>
              </w:rPr>
              <w:t>Filtreleme ve Tamponlama: Toprak, su, hava ve diğer kaynakların kalitesini korumak için bir filtre işlevi görür. Zehirli bileşikler veya aşırı besin maddeleri nötralize edilebilir, dönüştürülebilir veya başka şekillerde bitki ve hayvanlar için kullanılamaz hale getirilebilir.</w:t>
            </w:r>
          </w:p>
          <w:p w14:paraId="00D5280D" w14:textId="77777777" w:rsidR="003F670C" w:rsidRPr="00484F81" w:rsidRDefault="003F670C" w:rsidP="00B22A51">
            <w:pPr>
              <w:pStyle w:val="ListParagraph"/>
              <w:numPr>
                <w:ilvl w:val="0"/>
                <w:numId w:val="2"/>
              </w:numPr>
              <w:ind w:left="282" w:hanging="282"/>
              <w:jc w:val="both"/>
              <w:rPr>
                <w:rFonts w:ascii="Times New Roman" w:hAnsi="Times New Roman" w:cs="Times New Roman"/>
                <w:lang w:val="tr"/>
              </w:rPr>
            </w:pPr>
            <w:r w:rsidRPr="00484F81">
              <w:rPr>
                <w:rFonts w:ascii="Times New Roman" w:hAnsi="Times New Roman" w:cs="Times New Roman"/>
                <w:lang w:val="tr"/>
              </w:rPr>
              <w:t>Fiziksel Kararlılık ve Destek: Toprak, gözenekli yapısını koruma, hava, gaz ve su geçişini düzenleme, aşındırıcı kuvvetlere dayanma, ağır yükleri destekleme ve bitki kökleri için bir ortam oluşturma yeteneğine sahiptir.</w:t>
            </w:r>
          </w:p>
        </w:tc>
        <w:tc>
          <w:tcPr>
            <w:tcW w:w="616" w:type="dxa"/>
          </w:tcPr>
          <w:p w14:paraId="0C6E383E"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7</w:t>
            </w:r>
          </w:p>
        </w:tc>
      </w:tr>
      <w:tr w:rsidR="003F670C" w:rsidRPr="00484F81" w14:paraId="37DE2B5E" w14:textId="77777777" w:rsidTr="2C6C7817">
        <w:tc>
          <w:tcPr>
            <w:tcW w:w="2062" w:type="dxa"/>
          </w:tcPr>
          <w:p w14:paraId="205AF2C5"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Toprak kalitesinin izlenmesi</w:t>
            </w:r>
          </w:p>
        </w:tc>
        <w:tc>
          <w:tcPr>
            <w:tcW w:w="1469" w:type="dxa"/>
          </w:tcPr>
          <w:p w14:paraId="5C203207" w14:textId="77777777" w:rsidR="003F670C" w:rsidRPr="00484F81" w:rsidRDefault="003F670C" w:rsidP="00525540">
            <w:pPr>
              <w:jc w:val="both"/>
              <w:rPr>
                <w:rFonts w:ascii="Times New Roman" w:hAnsi="Times New Roman" w:cs="Times New Roman"/>
                <w:lang w:val="en-GB"/>
              </w:rPr>
            </w:pPr>
          </w:p>
        </w:tc>
        <w:tc>
          <w:tcPr>
            <w:tcW w:w="5615" w:type="dxa"/>
          </w:tcPr>
          <w:p w14:paraId="5A2C14CD" w14:textId="77777777" w:rsidR="003F670C" w:rsidRPr="00484F81" w:rsidRDefault="003F670C" w:rsidP="00525540">
            <w:pPr>
              <w:jc w:val="both"/>
              <w:rPr>
                <w:rFonts w:ascii="Times New Roman" w:hAnsi="Times New Roman" w:cs="Times New Roman"/>
                <w:lang w:val="en-GB"/>
              </w:rPr>
            </w:pPr>
            <w:r w:rsidRPr="00484F81">
              <w:rPr>
                <w:rFonts w:ascii="Times New Roman" w:hAnsi="Times New Roman" w:cs="Times New Roman"/>
                <w:lang w:val="tr"/>
              </w:rPr>
              <w:t xml:space="preserve">Yönetim uygulamalarının başarısını veya yönetim değişikliğine duyulan ihtiyacı belirlemek amacıyla nicel göstergelerdeki eğilimlerin veya toprağın işlevsel </w:t>
            </w:r>
            <w:r w:rsidRPr="00484F81">
              <w:rPr>
                <w:rFonts w:ascii="Times New Roman" w:hAnsi="Times New Roman" w:cs="Times New Roman"/>
                <w:lang w:val="tr"/>
              </w:rPr>
              <w:lastRenderedPageBreak/>
              <w:t>kapasitesinin izlenmesini ifade eder. İzleme, verilerin zaman içinde aynı yerlerden düzenli olarak toplanmasını, analiz edilmesini ve yorumlanmasını gerektirir. (Değerlendirme ile karşılaştırın.)</w:t>
            </w:r>
          </w:p>
        </w:tc>
        <w:tc>
          <w:tcPr>
            <w:tcW w:w="616" w:type="dxa"/>
          </w:tcPr>
          <w:p w14:paraId="6826E9A4"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lastRenderedPageBreak/>
              <w:t>3</w:t>
            </w:r>
          </w:p>
        </w:tc>
      </w:tr>
      <w:tr w:rsidR="003F670C" w:rsidRPr="00484F81" w14:paraId="083B7DC8" w14:textId="77777777" w:rsidTr="2C6C7817">
        <w:tc>
          <w:tcPr>
            <w:tcW w:w="2062" w:type="dxa"/>
          </w:tcPr>
          <w:p w14:paraId="6132997A"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Toprak kapasitesi</w:t>
            </w:r>
          </w:p>
        </w:tc>
        <w:tc>
          <w:tcPr>
            <w:tcW w:w="1469" w:type="dxa"/>
          </w:tcPr>
          <w:p w14:paraId="6D36BF79" w14:textId="77777777" w:rsidR="003F670C" w:rsidRPr="00484F81" w:rsidRDefault="003F670C" w:rsidP="00525540">
            <w:pPr>
              <w:jc w:val="both"/>
              <w:rPr>
                <w:rFonts w:ascii="Times New Roman" w:hAnsi="Times New Roman" w:cs="Times New Roman"/>
                <w:lang w:val="en-GB"/>
              </w:rPr>
            </w:pPr>
          </w:p>
        </w:tc>
        <w:tc>
          <w:tcPr>
            <w:tcW w:w="5615" w:type="dxa"/>
          </w:tcPr>
          <w:p w14:paraId="685C8336" w14:textId="77777777" w:rsidR="003F670C" w:rsidRPr="00484F81" w:rsidRDefault="003F670C" w:rsidP="00525540">
            <w:pPr>
              <w:jc w:val="both"/>
              <w:rPr>
                <w:rFonts w:ascii="Times New Roman" w:hAnsi="Times New Roman" w:cs="Times New Roman"/>
                <w:lang w:val="en-GB"/>
              </w:rPr>
            </w:pPr>
            <w:r w:rsidRPr="00484F81">
              <w:rPr>
                <w:rFonts w:ascii="Times New Roman" w:hAnsi="Times New Roman" w:cs="Times New Roman"/>
                <w:lang w:val="tr"/>
              </w:rPr>
              <w:t>Bir toprağın, toprak işlevlerini yerine getirebilmek için sahip olduğu kendine özgü kapasiteyi ifade eder.</w:t>
            </w:r>
          </w:p>
        </w:tc>
        <w:tc>
          <w:tcPr>
            <w:tcW w:w="616" w:type="dxa"/>
          </w:tcPr>
          <w:p w14:paraId="40228B01"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2</w:t>
            </w:r>
          </w:p>
        </w:tc>
      </w:tr>
      <w:tr w:rsidR="003F670C" w:rsidRPr="00484F81" w14:paraId="29557BB0" w14:textId="77777777" w:rsidTr="2C6C7817">
        <w:tc>
          <w:tcPr>
            <w:tcW w:w="2062" w:type="dxa"/>
          </w:tcPr>
          <w:p w14:paraId="6D552204"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Toprak Karbon Yönetimi</w:t>
            </w:r>
          </w:p>
        </w:tc>
        <w:tc>
          <w:tcPr>
            <w:tcW w:w="1469" w:type="dxa"/>
          </w:tcPr>
          <w:p w14:paraId="7606F4C7" w14:textId="77777777" w:rsidR="003F670C" w:rsidRPr="00484F81" w:rsidRDefault="003F670C" w:rsidP="002A67F8">
            <w:pPr>
              <w:jc w:val="both"/>
              <w:rPr>
                <w:rFonts w:ascii="Times New Roman" w:hAnsi="Times New Roman" w:cs="Times New Roman"/>
                <w:lang w:val="en-GB"/>
              </w:rPr>
            </w:pPr>
          </w:p>
        </w:tc>
        <w:tc>
          <w:tcPr>
            <w:tcW w:w="5615" w:type="dxa"/>
          </w:tcPr>
          <w:p w14:paraId="03E963EB" w14:textId="77777777" w:rsidR="003F670C" w:rsidRPr="00484F81" w:rsidRDefault="003F670C" w:rsidP="006A5BAB">
            <w:pPr>
              <w:jc w:val="both"/>
              <w:rPr>
                <w:rFonts w:ascii="Times New Roman" w:hAnsi="Times New Roman" w:cs="Times New Roman"/>
                <w:lang w:val="tr"/>
              </w:rPr>
            </w:pPr>
            <w:r w:rsidRPr="00484F81" w:rsidDel="006A5BAB">
              <w:rPr>
                <w:rFonts w:ascii="Times New Roman" w:hAnsi="Times New Roman" w:cs="Times New Roman"/>
                <w:lang w:val="tr"/>
              </w:rPr>
              <w:t xml:space="preserve"> Özellikle organik maddeler şeklinde olmak üzere toprakta depolanan karbon miktarını korumayı veya artırmayı amaçlayan uygulamaları ve stratejileri ifade eder. Bu süreç, toprak sağlığının iyileştirilmesi, tarımsal verimliliğin artırılması ve atmosferik karbondioksitin (CO₂) tutulması yoluyla iklim değişikliğinin azaltılması açısından kritik önemdedir. Toprak karbon yönetimi toprak verimliliğini, su tutma özelliğini ve biyoçeşitliliği artırır ve CO₂'yi yakalayıp depolayarak iklim değişikliğinin etkilerinin azaltılmasına katkıda bulunur. Toprak karbon yönetimi, sürdürülebilir tarım ve ekosistem direncinde hayati bir rol oynar.</w:t>
            </w:r>
          </w:p>
          <w:p w14:paraId="2BAAD7F5" w14:textId="77777777" w:rsidR="003F670C" w:rsidRPr="00484F81" w:rsidRDefault="003F670C" w:rsidP="006A5BAB">
            <w:pPr>
              <w:jc w:val="both"/>
              <w:rPr>
                <w:rFonts w:ascii="Times New Roman" w:hAnsi="Times New Roman" w:cs="Times New Roman"/>
                <w:lang w:val="tr"/>
              </w:rPr>
            </w:pPr>
            <w:r w:rsidRPr="00484F81">
              <w:rPr>
                <w:rFonts w:ascii="Times New Roman" w:hAnsi="Times New Roman" w:cs="Times New Roman"/>
                <w:lang w:val="tr"/>
              </w:rPr>
              <w:t>Toprak karbon yönetimindeki önemli uygulamalar arasında koruma amaçlı toprak işleme, ürün rotasyonu ve çeşitliliği, koruyucu bitki örtüsü ekimi, tarımsal ormancılık ve bozulmuş toprakların onarımı yer alır.</w:t>
            </w:r>
          </w:p>
        </w:tc>
        <w:tc>
          <w:tcPr>
            <w:tcW w:w="616" w:type="dxa"/>
          </w:tcPr>
          <w:p w14:paraId="542BA493"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2, 40</w:t>
            </w:r>
          </w:p>
        </w:tc>
      </w:tr>
      <w:tr w:rsidR="003F670C" w:rsidRPr="00484F81" w14:paraId="2411815C" w14:textId="77777777" w:rsidTr="2C6C7817">
        <w:tc>
          <w:tcPr>
            <w:tcW w:w="2062" w:type="dxa"/>
          </w:tcPr>
          <w:p w14:paraId="4F76D213"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Toprak kirlenmesi</w:t>
            </w:r>
          </w:p>
        </w:tc>
        <w:tc>
          <w:tcPr>
            <w:tcW w:w="1469" w:type="dxa"/>
          </w:tcPr>
          <w:p w14:paraId="1C65F327" w14:textId="77777777" w:rsidR="003F670C" w:rsidRPr="00484F81" w:rsidRDefault="003F670C" w:rsidP="00525540">
            <w:pPr>
              <w:jc w:val="both"/>
              <w:rPr>
                <w:rFonts w:ascii="Times New Roman" w:hAnsi="Times New Roman" w:cs="Times New Roman"/>
                <w:lang w:val="en-GB"/>
              </w:rPr>
            </w:pPr>
          </w:p>
        </w:tc>
        <w:tc>
          <w:tcPr>
            <w:tcW w:w="5615" w:type="dxa"/>
          </w:tcPr>
          <w:p w14:paraId="0E2DE741" w14:textId="77777777" w:rsidR="003F670C" w:rsidRPr="00484F81" w:rsidRDefault="003F670C" w:rsidP="00525540">
            <w:pPr>
              <w:jc w:val="both"/>
              <w:rPr>
                <w:rFonts w:ascii="Times New Roman" w:hAnsi="Times New Roman" w:cs="Times New Roman"/>
                <w:lang w:val="tr"/>
              </w:rPr>
            </w:pPr>
            <w:r w:rsidRPr="00484F81">
              <w:rPr>
                <w:rFonts w:ascii="Times New Roman" w:hAnsi="Times New Roman" w:cs="Times New Roman"/>
                <w:lang w:val="tr"/>
              </w:rPr>
              <w:t>Toprakta insan sağlığına veya çevreye zararlı olabilecek yoğunlukta bir kimyasalın veya maddenin bulunmasını ifade eder. Kirlenme, söz konusu toprağın içinde veya üzerinde yaşayan bitkiler, hayvanlar veya insanlar için doğrudan toksik etkiye sahip olabileceği gibi, tüm trofik zincirde birikim nedeniyle dolaylı toksik etkiye de yol açabilir.</w:t>
            </w:r>
          </w:p>
        </w:tc>
        <w:tc>
          <w:tcPr>
            <w:tcW w:w="616" w:type="dxa"/>
          </w:tcPr>
          <w:p w14:paraId="120D520D"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2, 4</w:t>
            </w:r>
          </w:p>
        </w:tc>
      </w:tr>
      <w:tr w:rsidR="003F670C" w:rsidRPr="00484F81" w14:paraId="090A21CC" w14:textId="77777777" w:rsidTr="2C6C7817">
        <w:tc>
          <w:tcPr>
            <w:tcW w:w="2062" w:type="dxa"/>
          </w:tcPr>
          <w:p w14:paraId="4E9C6895"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 xml:space="preserve">Toprak koruması </w:t>
            </w:r>
          </w:p>
        </w:tc>
        <w:tc>
          <w:tcPr>
            <w:tcW w:w="1469" w:type="dxa"/>
          </w:tcPr>
          <w:p w14:paraId="616504E0" w14:textId="77777777" w:rsidR="003F670C" w:rsidRPr="00484F81" w:rsidRDefault="003F670C" w:rsidP="00525540">
            <w:pPr>
              <w:jc w:val="both"/>
              <w:rPr>
                <w:rFonts w:ascii="Times New Roman" w:hAnsi="Times New Roman" w:cs="Times New Roman"/>
                <w:lang w:val="en-GB"/>
              </w:rPr>
            </w:pPr>
          </w:p>
        </w:tc>
        <w:tc>
          <w:tcPr>
            <w:tcW w:w="5615" w:type="dxa"/>
          </w:tcPr>
          <w:p w14:paraId="7B790307" w14:textId="77777777" w:rsidR="003F670C" w:rsidRPr="00484F81" w:rsidRDefault="003F670C" w:rsidP="00525540">
            <w:pPr>
              <w:jc w:val="both"/>
              <w:rPr>
                <w:rFonts w:ascii="Times New Roman" w:hAnsi="Times New Roman" w:cs="Times New Roman"/>
                <w:lang w:val="en-GB"/>
              </w:rPr>
            </w:pPr>
            <w:r w:rsidRPr="00484F81">
              <w:rPr>
                <w:rFonts w:ascii="Times New Roman" w:hAnsi="Times New Roman" w:cs="Times New Roman"/>
                <w:lang w:val="tr"/>
              </w:rPr>
              <w:t>Toprağı ve toprağın özelliklerini korumak için gerekli olan, (kişisel, yerel, ulusal, kıtasal olmak üzere) farklı düzeylerde yürütülen ve toprakların sürdürülebilir yönetimi için toprak araştırmalarından elde edilen bilgilerin kullanıldığı bilinçli bir süreci ifade eder.</w:t>
            </w:r>
          </w:p>
        </w:tc>
        <w:tc>
          <w:tcPr>
            <w:tcW w:w="616" w:type="dxa"/>
          </w:tcPr>
          <w:p w14:paraId="6C7614D5"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3</w:t>
            </w:r>
          </w:p>
        </w:tc>
      </w:tr>
      <w:tr w:rsidR="003F670C" w:rsidRPr="00484F81" w14:paraId="60222E87" w14:textId="77777777" w:rsidTr="2C6C7817">
        <w:tc>
          <w:tcPr>
            <w:tcW w:w="2062" w:type="dxa"/>
          </w:tcPr>
          <w:p w14:paraId="64BF50AB"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Toprak koşulları</w:t>
            </w:r>
          </w:p>
        </w:tc>
        <w:tc>
          <w:tcPr>
            <w:tcW w:w="1469" w:type="dxa"/>
          </w:tcPr>
          <w:p w14:paraId="1A86ADDA" w14:textId="77777777" w:rsidR="003F670C" w:rsidRPr="00484F81" w:rsidRDefault="003F670C" w:rsidP="00525540">
            <w:pPr>
              <w:jc w:val="both"/>
              <w:rPr>
                <w:rFonts w:ascii="Times New Roman" w:hAnsi="Times New Roman" w:cs="Times New Roman"/>
                <w:lang w:val="en-GB"/>
              </w:rPr>
            </w:pPr>
          </w:p>
        </w:tc>
        <w:tc>
          <w:tcPr>
            <w:tcW w:w="5615" w:type="dxa"/>
          </w:tcPr>
          <w:p w14:paraId="3BC85618" w14:textId="77777777" w:rsidR="003F670C" w:rsidRPr="00484F81" w:rsidRDefault="003F670C" w:rsidP="00525540">
            <w:pPr>
              <w:jc w:val="both"/>
              <w:rPr>
                <w:rFonts w:ascii="Times New Roman" w:hAnsi="Times New Roman" w:cs="Times New Roman"/>
                <w:lang w:val="en-GB"/>
              </w:rPr>
            </w:pPr>
            <w:r w:rsidRPr="00484F81">
              <w:rPr>
                <w:rFonts w:ascii="Times New Roman" w:hAnsi="Times New Roman" w:cs="Times New Roman"/>
                <w:lang w:val="tr"/>
              </w:rPr>
              <w:t>Toprak koşulları, toprağın fiziksel, kimyasal ve biyolojik özellikleri ile bunları birbirine bağlayan ve dolayısıyla toprağın ekosistem hizmetlerini destekleme kapasitesini belirleyen süreçleri ve etkileşimleri içeren durumunu ifade eder.</w:t>
            </w:r>
          </w:p>
        </w:tc>
        <w:tc>
          <w:tcPr>
            <w:tcW w:w="616" w:type="dxa"/>
          </w:tcPr>
          <w:p w14:paraId="0F9B9EA7"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2</w:t>
            </w:r>
          </w:p>
        </w:tc>
      </w:tr>
      <w:tr w:rsidR="003F670C" w:rsidRPr="00484F81" w14:paraId="4DAB3D37" w14:textId="77777777" w:rsidTr="2C6C7817">
        <w:tc>
          <w:tcPr>
            <w:tcW w:w="2062" w:type="dxa"/>
          </w:tcPr>
          <w:p w14:paraId="1A5FE449" w14:textId="77777777" w:rsidR="003F670C" w:rsidRPr="00484F81" w:rsidRDefault="003F670C" w:rsidP="00A655ED">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Toprak okuryazarlığı</w:t>
            </w:r>
          </w:p>
        </w:tc>
        <w:tc>
          <w:tcPr>
            <w:tcW w:w="1469" w:type="dxa"/>
          </w:tcPr>
          <w:p w14:paraId="6BC585EE" w14:textId="77777777" w:rsidR="003F670C" w:rsidRPr="00484F81" w:rsidRDefault="003F670C" w:rsidP="00A655ED">
            <w:pPr>
              <w:jc w:val="both"/>
              <w:rPr>
                <w:rFonts w:ascii="Times New Roman" w:hAnsi="Times New Roman" w:cs="Times New Roman"/>
                <w:lang w:val="en-GB"/>
              </w:rPr>
            </w:pPr>
          </w:p>
        </w:tc>
        <w:tc>
          <w:tcPr>
            <w:tcW w:w="5615" w:type="dxa"/>
          </w:tcPr>
          <w:p w14:paraId="13AFEB42"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lang w:val="tr"/>
              </w:rPr>
              <w:t xml:space="preserve">Toprak okuryazarlığı, toprağın ekosistemler, tarım ve çevre sağlığındaki rolünün anlaşılmasını ve bilinmesini ifade eder. Toprak okuyazarlığı, toprağın bileşimi, işlevleri ve sürdürülebilir arazi kullanımını teşvik eden yönetim uygulamaları hakkında bilgi sahibi olmayı gerektirir. </w:t>
            </w:r>
          </w:p>
          <w:p w14:paraId="5EE0F6C0"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lang w:val="tr"/>
              </w:rPr>
              <w:t>Toprak okuryazarlığının temel unsurları şunlardır:</w:t>
            </w:r>
          </w:p>
          <w:p w14:paraId="7767114B"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b/>
                <w:lang w:val="tr"/>
              </w:rPr>
              <w:t>Toprağın bileşiminin öneminin anlaşılması</w:t>
            </w:r>
            <w:r w:rsidRPr="00484F81">
              <w:rPr>
                <w:rFonts w:ascii="Times New Roman" w:hAnsi="Times New Roman" w:cs="Times New Roman"/>
                <w:lang w:val="tr"/>
              </w:rPr>
              <w:t>: Mineralojik bileşim, organik madde içeriği ve nem durumu da dahil olmak üzere toprağın fiziksel ve kimyasal özelliklerinin bilinmesidir.</w:t>
            </w:r>
          </w:p>
          <w:p w14:paraId="480F5984"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b/>
                <w:bCs/>
                <w:lang w:val="tr"/>
              </w:rPr>
              <w:t>Toprağın işlevleri</w:t>
            </w:r>
            <w:r w:rsidRPr="00484F81">
              <w:rPr>
                <w:rFonts w:ascii="Times New Roman" w:hAnsi="Times New Roman" w:cs="Times New Roman"/>
                <w:lang w:val="tr"/>
              </w:rPr>
              <w:t>: Bitkilerin büyümesini desteklemek, su döngüsünü düzenlemek, karbon depolamak ve organizmalar için yaşam alanı sağlamak gibi toprağın oynadığı çeşitli rollerin anlaşılmasıdır.</w:t>
            </w:r>
          </w:p>
          <w:p w14:paraId="0FE9ECC1"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b/>
                <w:lang w:val="tr"/>
              </w:rPr>
              <w:t>Toprak yönetimi uygulamaları</w:t>
            </w:r>
            <w:r w:rsidRPr="00484F81">
              <w:rPr>
                <w:rFonts w:ascii="Times New Roman" w:hAnsi="Times New Roman" w:cs="Times New Roman"/>
                <w:lang w:val="tr"/>
              </w:rPr>
              <w:t>: Ekin rotasyonu, koruyucu bitki ekimi, toprağı işlemenin azaltılması ve organik katkı maddelerinin kullanımı gibi toprak sağlığını iyileştiren sürdürülebilir uygulamalar hakkında bilgi edinilmesidir.</w:t>
            </w:r>
          </w:p>
          <w:p w14:paraId="1C2C6CC0"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b/>
                <w:lang w:val="tr"/>
              </w:rPr>
              <w:lastRenderedPageBreak/>
              <w:t>Ekosistemler üzerindeki etki</w:t>
            </w:r>
            <w:r w:rsidRPr="00484F81">
              <w:rPr>
                <w:rFonts w:ascii="Times New Roman" w:hAnsi="Times New Roman" w:cs="Times New Roman"/>
                <w:lang w:val="tr"/>
              </w:rPr>
              <w:t>: Toprak sağlığının biyoçeşitlilik, iklim değişikliği ve su kalitesi gibi daha geniş kapsamlı çevresel sorunları nasıl etkilediğinin anlaşılmasıdır.</w:t>
            </w:r>
          </w:p>
          <w:p w14:paraId="6F54C3E9"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b/>
                <w:lang w:val="tr"/>
              </w:rPr>
              <w:t>Topluluk katılımı</w:t>
            </w:r>
            <w:r w:rsidRPr="00484F81">
              <w:rPr>
                <w:rFonts w:ascii="Times New Roman" w:hAnsi="Times New Roman" w:cs="Times New Roman"/>
                <w:lang w:val="tr"/>
              </w:rPr>
              <w:t>: Yerel toplulukların eğitim ve katılımcı uygulamalar yoluyla toprağa ilişkin sorunlarla ilgilenmeye teşvik edilmesidir.</w:t>
            </w:r>
          </w:p>
          <w:p w14:paraId="21ECAA65"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lang w:val="tr"/>
              </w:rPr>
              <w:t>Toprak okuryazarlığı, sürdürülebilir tarım uygulamalarının teşvik edilmesi ve çevrenin bilinçli şekilde kullanılmasının desteklenmesi açısından son derece önemlidir. Toprak okuryazarlığı, bireyleri ve toplulukları arazi kullanımı ve toprak koruma çabaları konusunda bilinçli kararlar almaya teşvik eder.</w:t>
            </w:r>
          </w:p>
        </w:tc>
        <w:tc>
          <w:tcPr>
            <w:tcW w:w="616" w:type="dxa"/>
          </w:tcPr>
          <w:p w14:paraId="0F51BC23" w14:textId="77777777" w:rsidR="003F670C" w:rsidRPr="00484F81" w:rsidRDefault="003F670C" w:rsidP="00A655ED">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lastRenderedPageBreak/>
              <w:t>23, Loess</w:t>
            </w:r>
          </w:p>
        </w:tc>
      </w:tr>
      <w:tr w:rsidR="003F670C" w:rsidRPr="00484F81" w14:paraId="0FAD2CF6" w14:textId="77777777" w:rsidTr="2C6C7817">
        <w:tc>
          <w:tcPr>
            <w:tcW w:w="2062" w:type="dxa"/>
          </w:tcPr>
          <w:p w14:paraId="3D585128" w14:textId="77777777" w:rsidR="003F670C" w:rsidRPr="00484F81" w:rsidRDefault="003F670C" w:rsidP="00A655ED">
            <w:pPr>
              <w:rPr>
                <w:rFonts w:ascii="Times New Roman" w:hAnsi="Times New Roman" w:cs="Times New Roman"/>
                <w:b/>
                <w:color w:val="BF4E14" w:themeColor="accent2" w:themeShade="BF"/>
                <w:lang w:val="en-GB"/>
              </w:rPr>
            </w:pPr>
            <w:r w:rsidRPr="00484F81">
              <w:rPr>
                <w:rFonts w:ascii="Times New Roman" w:hAnsi="Times New Roman" w:cs="Times New Roman"/>
                <w:b/>
                <w:color w:val="3A7C22" w:themeColor="accent6" w:themeShade="BF"/>
                <w:lang w:val="tr"/>
              </w:rPr>
              <w:t>Toprak oluşumu</w:t>
            </w:r>
          </w:p>
        </w:tc>
        <w:tc>
          <w:tcPr>
            <w:tcW w:w="1469" w:type="dxa"/>
          </w:tcPr>
          <w:p w14:paraId="002E2DC6" w14:textId="77777777" w:rsidR="003F670C" w:rsidRPr="00484F81" w:rsidRDefault="003F670C" w:rsidP="00A655ED">
            <w:pPr>
              <w:jc w:val="both"/>
              <w:rPr>
                <w:rFonts w:ascii="Times New Roman" w:hAnsi="Times New Roman" w:cs="Times New Roman"/>
                <w:lang w:val="en-GB"/>
              </w:rPr>
            </w:pPr>
          </w:p>
        </w:tc>
        <w:tc>
          <w:tcPr>
            <w:tcW w:w="5615" w:type="dxa"/>
          </w:tcPr>
          <w:p w14:paraId="069EA7ED"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lang w:val="tr"/>
              </w:rPr>
              <w:t>Kaya malzemelerinin toprak profillerine dönüşme sürecini ifade eder. Topraklar, doğal çevrenin esas unsurlarının, yani ana materyallerin, rölyefin, iklimin, canlı organizmaların ve zamanın (Dokuchaev, 1883) etkisi ve aynı zamanda insan faaliyetlerinin etkisi altında oluşur. Toprağı oluşturan bu faktörler birlikte etki gösterir ve bireysel toprakların morfolojisi ve özellikleri bu faktörlerin yerel düzenlemelerine göre şekillenir.</w:t>
            </w:r>
          </w:p>
        </w:tc>
        <w:tc>
          <w:tcPr>
            <w:tcW w:w="616" w:type="dxa"/>
          </w:tcPr>
          <w:p w14:paraId="0F9CDBE9" w14:textId="77777777" w:rsidR="003F670C" w:rsidRPr="00484F81" w:rsidRDefault="003F670C" w:rsidP="00A655ED">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15</w:t>
            </w:r>
          </w:p>
        </w:tc>
      </w:tr>
      <w:tr w:rsidR="003F670C" w:rsidRPr="00484F81" w14:paraId="5AD2FB08" w14:textId="77777777" w:rsidTr="2C6C7817">
        <w:tc>
          <w:tcPr>
            <w:tcW w:w="2062" w:type="dxa"/>
          </w:tcPr>
          <w:p w14:paraId="01A28637" w14:textId="77777777" w:rsidR="003F670C" w:rsidRPr="00484F81" w:rsidRDefault="003F670C" w:rsidP="00A655ED">
            <w:pPr>
              <w:rPr>
                <w:rFonts w:ascii="Times New Roman" w:hAnsi="Times New Roman" w:cs="Times New Roman"/>
                <w:lang w:val="en-GB"/>
              </w:rPr>
            </w:pPr>
            <w:r w:rsidRPr="00484F81">
              <w:rPr>
                <w:rFonts w:ascii="Times New Roman" w:hAnsi="Times New Roman" w:cs="Times New Roman"/>
                <w:b/>
                <w:color w:val="3A7C22" w:themeColor="accent6" w:themeShade="BF"/>
                <w:lang w:val="tr"/>
              </w:rPr>
              <w:t>Toprak sağlığı</w:t>
            </w:r>
          </w:p>
        </w:tc>
        <w:tc>
          <w:tcPr>
            <w:tcW w:w="1469" w:type="dxa"/>
          </w:tcPr>
          <w:p w14:paraId="5303A796" w14:textId="77777777" w:rsidR="003F670C" w:rsidRPr="00484F81" w:rsidRDefault="003F670C" w:rsidP="00525540">
            <w:pPr>
              <w:jc w:val="both"/>
              <w:rPr>
                <w:rFonts w:ascii="Times New Roman" w:hAnsi="Times New Roman" w:cs="Times New Roman"/>
                <w:lang w:val="en-GB"/>
              </w:rPr>
            </w:pPr>
          </w:p>
        </w:tc>
        <w:tc>
          <w:tcPr>
            <w:tcW w:w="5615" w:type="dxa"/>
          </w:tcPr>
          <w:p w14:paraId="4E40FF25" w14:textId="77777777" w:rsidR="003F670C" w:rsidRPr="00484F81" w:rsidRDefault="003F670C" w:rsidP="00525540">
            <w:pPr>
              <w:jc w:val="both"/>
              <w:rPr>
                <w:rFonts w:ascii="Times New Roman" w:hAnsi="Times New Roman" w:cs="Times New Roman"/>
                <w:lang w:val="tr"/>
              </w:rPr>
            </w:pPr>
            <w:r w:rsidRPr="00484F81">
              <w:rPr>
                <w:rFonts w:ascii="Times New Roman" w:hAnsi="Times New Roman" w:cs="Times New Roman"/>
                <w:lang w:val="tr"/>
              </w:rPr>
              <w:t>Gıdalarımızın %95'inin kaynağı topraktır. Topraklar sağlıklı olduğunda temiz su ve biyolojik çeşitlilik içeren yaşam alanları gibi temel ekosistem hizmetleri sağlarlar. Topraklar, iklim değişikliğini yavaşlatmaya yardımcı olan ve bizi aşırı iklim olaylarına karşı daha dirençli kılan önemli karbon rezervuarlarıdır. Topraklar, hepimizin değer verdiği doğal güzelliklerin önemli bir parçasıdır ve ekonomimizin ve refahımızın temelini oluşturur. Sağlıklı toprak, toprağın hayati önemde bir canlı sistem olarak işlev görmeyi sürdürebilme kapasitesidir.</w:t>
            </w:r>
          </w:p>
        </w:tc>
        <w:tc>
          <w:tcPr>
            <w:tcW w:w="616" w:type="dxa"/>
          </w:tcPr>
          <w:p w14:paraId="2E890D60"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1,46</w:t>
            </w:r>
          </w:p>
        </w:tc>
      </w:tr>
      <w:tr w:rsidR="003F670C" w:rsidRPr="00484F81" w14:paraId="6CDA61ED" w14:textId="77777777" w:rsidTr="2C6C7817">
        <w:tc>
          <w:tcPr>
            <w:tcW w:w="2062" w:type="dxa"/>
          </w:tcPr>
          <w:p w14:paraId="6AF555F8"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Toprak sıkışması</w:t>
            </w:r>
          </w:p>
        </w:tc>
        <w:tc>
          <w:tcPr>
            <w:tcW w:w="1469" w:type="dxa"/>
          </w:tcPr>
          <w:p w14:paraId="60EFF2CB" w14:textId="77777777" w:rsidR="003F670C" w:rsidRPr="00484F81" w:rsidRDefault="003F670C" w:rsidP="00525540">
            <w:pPr>
              <w:jc w:val="both"/>
              <w:rPr>
                <w:rFonts w:ascii="Times New Roman" w:hAnsi="Times New Roman" w:cs="Times New Roman"/>
                <w:lang w:val="en-GB"/>
              </w:rPr>
            </w:pPr>
          </w:p>
        </w:tc>
        <w:tc>
          <w:tcPr>
            <w:tcW w:w="5615" w:type="dxa"/>
          </w:tcPr>
          <w:p w14:paraId="70423E91" w14:textId="77777777" w:rsidR="003F670C" w:rsidRPr="00484F81" w:rsidRDefault="003F670C" w:rsidP="00525540">
            <w:pPr>
              <w:jc w:val="both"/>
              <w:rPr>
                <w:rFonts w:ascii="Times New Roman" w:hAnsi="Times New Roman" w:cs="Times New Roman"/>
                <w:lang w:val="tr"/>
              </w:rPr>
            </w:pPr>
            <w:r w:rsidRPr="00484F81">
              <w:rPr>
                <w:rFonts w:ascii="Times New Roman" w:hAnsi="Times New Roman" w:cs="Times New Roman"/>
                <w:lang w:val="tr"/>
              </w:rPr>
              <w:t>Toprağın yapısının, toprak parçacıkları veya agregatları arasındaki gözeneklerin hacminde bir azalma olacak şekilde değişmesini ifade eder. Toprak sıkışması, yığın yoğunluğunda bir artış olarak kendini gösterir ve aşırı derecede sıkışmış bir toprak önemli ölçüde daha az geçirgen ve daha az havalanır hale gelebilir. İnsan kaynaklı toprak sıkışmasına kaçak avlanma (hayvan toynaklarının toprağı sürekli çiğnemesi) veya ağır makinelerin toprak üzerinden geçmesi neden olur. Diğer tipik örnekler arasında toprak işleme nedeniyle oluşabilen ve kök gelişimini ve drenajı olumsuz etkileyebilen “pulluk çukurları” (pulluk tabanı veya trafik çukuru) yer alır.</w:t>
            </w:r>
          </w:p>
        </w:tc>
        <w:tc>
          <w:tcPr>
            <w:tcW w:w="616" w:type="dxa"/>
          </w:tcPr>
          <w:p w14:paraId="3867454D"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4</w:t>
            </w:r>
          </w:p>
        </w:tc>
      </w:tr>
      <w:tr w:rsidR="003F670C" w:rsidRPr="00484F81" w14:paraId="08B19D8E" w14:textId="77777777" w:rsidTr="2C6C7817">
        <w:tc>
          <w:tcPr>
            <w:tcW w:w="2062" w:type="dxa"/>
          </w:tcPr>
          <w:p w14:paraId="10EBC1D4" w14:textId="77777777" w:rsidR="003F670C" w:rsidRPr="00484F81" w:rsidRDefault="003F670C" w:rsidP="00A655ED">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Toprak tipi</w:t>
            </w:r>
          </w:p>
        </w:tc>
        <w:tc>
          <w:tcPr>
            <w:tcW w:w="1469" w:type="dxa"/>
          </w:tcPr>
          <w:p w14:paraId="3F7797E4" w14:textId="77777777" w:rsidR="003F670C" w:rsidRPr="00484F81" w:rsidRDefault="003F670C" w:rsidP="00A655ED">
            <w:pPr>
              <w:jc w:val="both"/>
              <w:rPr>
                <w:rFonts w:ascii="Times New Roman" w:hAnsi="Times New Roman" w:cs="Times New Roman"/>
                <w:lang w:val="en-GB"/>
              </w:rPr>
            </w:pPr>
          </w:p>
        </w:tc>
        <w:tc>
          <w:tcPr>
            <w:tcW w:w="5615" w:type="dxa"/>
          </w:tcPr>
          <w:p w14:paraId="6A0AD04E"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lang w:val="tr"/>
              </w:rPr>
              <w:t>Toprak tipi, toprak biliminde ve birçok toprak sınıflandırma sisteminde kullanılan kavramsal ve son derece genellenen bir birimdir. Toprak tipi, ağırlıklı olarak toprak oluşum süreçlerinden (pedogenesis) kaynaklanan özellikler temelinde tanımlanır. Belirli bir genetik horizon dizisine ve belirli özelliklere sahip topraklar belirli bir toprak tipi oluşturur.</w:t>
            </w:r>
          </w:p>
        </w:tc>
        <w:tc>
          <w:tcPr>
            <w:tcW w:w="616" w:type="dxa"/>
          </w:tcPr>
          <w:p w14:paraId="3BE62F4E" w14:textId="77777777" w:rsidR="003F670C" w:rsidRPr="00484F81" w:rsidRDefault="003F670C" w:rsidP="00A655ED">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16</w:t>
            </w:r>
          </w:p>
        </w:tc>
      </w:tr>
      <w:tr w:rsidR="003F670C" w:rsidRPr="00484F81" w14:paraId="04CCD233" w14:textId="77777777" w:rsidTr="2C6C7817">
        <w:tc>
          <w:tcPr>
            <w:tcW w:w="2062" w:type="dxa"/>
          </w:tcPr>
          <w:p w14:paraId="20F5F860" w14:textId="77777777" w:rsidR="003F670C" w:rsidRPr="00484F81" w:rsidRDefault="003F670C" w:rsidP="002A67F8">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Toprak verimliliği</w:t>
            </w:r>
          </w:p>
        </w:tc>
        <w:tc>
          <w:tcPr>
            <w:tcW w:w="1469" w:type="dxa"/>
          </w:tcPr>
          <w:p w14:paraId="17463FA9" w14:textId="77777777" w:rsidR="003F670C" w:rsidRPr="00484F81" w:rsidRDefault="003F670C" w:rsidP="00525540">
            <w:pPr>
              <w:jc w:val="both"/>
              <w:rPr>
                <w:rFonts w:ascii="Times New Roman" w:hAnsi="Times New Roman" w:cs="Times New Roman"/>
                <w:lang w:val="en-GB"/>
              </w:rPr>
            </w:pPr>
          </w:p>
        </w:tc>
        <w:tc>
          <w:tcPr>
            <w:tcW w:w="5615" w:type="dxa"/>
          </w:tcPr>
          <w:p w14:paraId="7D05067D" w14:textId="77777777" w:rsidR="003F670C" w:rsidRPr="00484F81" w:rsidRDefault="003F670C" w:rsidP="00525540">
            <w:pPr>
              <w:jc w:val="both"/>
              <w:rPr>
                <w:rFonts w:ascii="Times New Roman" w:hAnsi="Times New Roman" w:cs="Times New Roman"/>
                <w:lang w:val="tr"/>
              </w:rPr>
            </w:pPr>
            <w:r w:rsidRPr="00484F81">
              <w:rPr>
                <w:rFonts w:ascii="Times New Roman" w:hAnsi="Times New Roman" w:cs="Times New Roman"/>
                <w:lang w:val="tr"/>
              </w:rPr>
              <w:t>Toprağın, bitkilerin büyümesi ve çoğalması için gerekli besin maddelerini ve toprak suyunu yeterli miktar ve oranlarda sağlayabilme yeteneğini ifade eder. Toprak verimliliği, bitkilerin büyümesi için uygun kimyasal, fiziksel ve biyolojik özelliklerle karakterize edilir.</w:t>
            </w:r>
          </w:p>
        </w:tc>
        <w:tc>
          <w:tcPr>
            <w:tcW w:w="616" w:type="dxa"/>
          </w:tcPr>
          <w:p w14:paraId="44D6F048"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2, 4</w:t>
            </w:r>
          </w:p>
        </w:tc>
      </w:tr>
      <w:tr w:rsidR="003F670C" w:rsidRPr="00484F81" w14:paraId="47673653" w14:textId="77777777" w:rsidTr="2C6C7817">
        <w:tc>
          <w:tcPr>
            <w:tcW w:w="2062" w:type="dxa"/>
          </w:tcPr>
          <w:p w14:paraId="40A8B26A" w14:textId="77777777" w:rsidR="003F670C" w:rsidRPr="00484F81" w:rsidRDefault="003F670C" w:rsidP="00A655ED">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Topraksız tarım</w:t>
            </w:r>
          </w:p>
        </w:tc>
        <w:tc>
          <w:tcPr>
            <w:tcW w:w="1469" w:type="dxa"/>
          </w:tcPr>
          <w:p w14:paraId="22D155B7" w14:textId="77777777" w:rsidR="003F670C" w:rsidRPr="00484F81" w:rsidRDefault="003F670C" w:rsidP="00A655ED">
            <w:pPr>
              <w:jc w:val="both"/>
              <w:rPr>
                <w:rFonts w:ascii="Times New Roman" w:hAnsi="Times New Roman" w:cs="Times New Roman"/>
                <w:lang w:val="en-GB"/>
              </w:rPr>
            </w:pPr>
          </w:p>
        </w:tc>
        <w:tc>
          <w:tcPr>
            <w:tcW w:w="5615" w:type="dxa"/>
          </w:tcPr>
          <w:p w14:paraId="53D212B7"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lang w:val="tr"/>
              </w:rPr>
              <w:t xml:space="preserve">Geleneksel toprak temelli yetiştiriciliğe dayanmayan bir tarım yöntemini ifade eder. Bu yaklaşımla mahsul üretmek için hidroponik, aeroponik veya akuaponik gibi alternatif </w:t>
            </w:r>
            <w:r w:rsidRPr="00484F81">
              <w:rPr>
                <w:rFonts w:ascii="Times New Roman" w:hAnsi="Times New Roman" w:cs="Times New Roman"/>
                <w:lang w:val="tr"/>
              </w:rPr>
              <w:lastRenderedPageBreak/>
              <w:t>yetiştirme ortamları kullanılır. Topraksız tarımla kaynak kullanımının optimize edilmesi, arazi tahribatının en aza indirilmesi ve toprak kalitesinin düşük olabileceği veya mevcut olmadığı kentsel veya kurak ortamlarda gıda üretiminin artırılması amaçlanır. Bu yöntemde genellikle sürdürülebilirlik, verimlilik ve daha iyi mahsul verimi için çevresel faktörlerin kontrol edilebilmesi ön plana çıkar.</w:t>
            </w:r>
          </w:p>
        </w:tc>
        <w:tc>
          <w:tcPr>
            <w:tcW w:w="616" w:type="dxa"/>
          </w:tcPr>
          <w:p w14:paraId="3D24CA07" w14:textId="77777777" w:rsidR="003F670C" w:rsidRPr="00484F81" w:rsidRDefault="003F670C" w:rsidP="00A655ED">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lastRenderedPageBreak/>
              <w:t>33</w:t>
            </w:r>
          </w:p>
        </w:tc>
      </w:tr>
      <w:tr w:rsidR="003F670C" w:rsidRPr="00484F81" w14:paraId="3D78F348" w14:textId="77777777" w:rsidTr="2C6C7817">
        <w:tc>
          <w:tcPr>
            <w:tcW w:w="2062" w:type="dxa"/>
          </w:tcPr>
          <w:p w14:paraId="5D9BE871" w14:textId="77777777" w:rsidR="003F670C" w:rsidRPr="00484F81" w:rsidRDefault="003F670C" w:rsidP="002A67F8">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Toprakta karbon birikimi</w:t>
            </w:r>
          </w:p>
        </w:tc>
        <w:tc>
          <w:tcPr>
            <w:tcW w:w="1469" w:type="dxa"/>
          </w:tcPr>
          <w:p w14:paraId="41310C2B" w14:textId="77777777" w:rsidR="003F670C" w:rsidRPr="00484F81" w:rsidRDefault="003F670C" w:rsidP="00525540">
            <w:pPr>
              <w:jc w:val="both"/>
              <w:rPr>
                <w:rFonts w:ascii="Times New Roman" w:hAnsi="Times New Roman" w:cs="Times New Roman"/>
                <w:lang w:val="en-GB"/>
              </w:rPr>
            </w:pPr>
          </w:p>
        </w:tc>
        <w:tc>
          <w:tcPr>
            <w:tcW w:w="5615" w:type="dxa"/>
          </w:tcPr>
          <w:p w14:paraId="11ACB4A7" w14:textId="77777777" w:rsidR="003F670C" w:rsidRPr="00484F81" w:rsidRDefault="003F670C" w:rsidP="00525540">
            <w:pPr>
              <w:jc w:val="both"/>
              <w:rPr>
                <w:rFonts w:ascii="Times New Roman" w:hAnsi="Times New Roman" w:cs="Times New Roman"/>
                <w:lang w:val="en-GB"/>
              </w:rPr>
            </w:pPr>
            <w:r w:rsidRPr="00484F81">
              <w:rPr>
                <w:rFonts w:ascii="Times New Roman" w:hAnsi="Times New Roman" w:cs="Times New Roman"/>
                <w:lang w:val="tr"/>
              </w:rPr>
              <w:t>Bir toprağın atmosferdeki CO</w:t>
            </w:r>
            <w:r w:rsidRPr="00484F81">
              <w:rPr>
                <w:rFonts w:ascii="Times New Roman" w:hAnsi="Times New Roman" w:cs="Times New Roman"/>
                <w:vertAlign w:val="subscript"/>
                <w:lang w:val="tr"/>
              </w:rPr>
              <w:t>2</w:t>
            </w:r>
            <w:r w:rsidRPr="00484F81">
              <w:rPr>
                <w:rFonts w:ascii="Times New Roman" w:hAnsi="Times New Roman" w:cs="Times New Roman"/>
                <w:lang w:val="tr"/>
              </w:rPr>
              <w:t xml:space="preserve"> konsantrasyonunu azaltmak amacıyla karbonu kalıcı olmayan bir biçimde depolama kapasitesini ifade eder.</w:t>
            </w:r>
          </w:p>
        </w:tc>
        <w:tc>
          <w:tcPr>
            <w:tcW w:w="616" w:type="dxa"/>
          </w:tcPr>
          <w:p w14:paraId="299B14C8"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4</w:t>
            </w:r>
          </w:p>
        </w:tc>
      </w:tr>
      <w:tr w:rsidR="003F670C" w:rsidRPr="00484F81" w14:paraId="508E368D" w14:textId="77777777" w:rsidTr="2C6C7817">
        <w:tc>
          <w:tcPr>
            <w:tcW w:w="2062" w:type="dxa"/>
          </w:tcPr>
          <w:p w14:paraId="6419D497" w14:textId="77777777" w:rsidR="003F670C" w:rsidRPr="00484F81" w:rsidRDefault="003F670C" w:rsidP="002A67F8">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Tükenme</w:t>
            </w:r>
          </w:p>
        </w:tc>
        <w:tc>
          <w:tcPr>
            <w:tcW w:w="1469" w:type="dxa"/>
          </w:tcPr>
          <w:p w14:paraId="4DFD90FA" w14:textId="77777777" w:rsidR="003F670C" w:rsidRPr="00484F81" w:rsidRDefault="003F670C" w:rsidP="002A67F8">
            <w:pPr>
              <w:jc w:val="both"/>
              <w:rPr>
                <w:rFonts w:ascii="Times New Roman" w:hAnsi="Times New Roman" w:cs="Times New Roman"/>
                <w:lang w:val="en-GB"/>
              </w:rPr>
            </w:pPr>
          </w:p>
        </w:tc>
        <w:tc>
          <w:tcPr>
            <w:tcW w:w="5615" w:type="dxa"/>
          </w:tcPr>
          <w:p w14:paraId="13AFA4C9" w14:textId="77777777" w:rsidR="003F670C" w:rsidRPr="00484F81" w:rsidRDefault="003F670C" w:rsidP="002A67F8">
            <w:pPr>
              <w:jc w:val="both"/>
              <w:rPr>
                <w:rFonts w:ascii="Times New Roman" w:hAnsi="Times New Roman" w:cs="Times New Roman"/>
                <w:lang w:val="en-GB"/>
              </w:rPr>
            </w:pPr>
            <w:r w:rsidRPr="00484F81">
              <w:rPr>
                <w:rFonts w:ascii="Times New Roman" w:hAnsi="Times New Roman" w:cs="Times New Roman"/>
                <w:lang w:val="tr"/>
              </w:rPr>
              <w:t>Topraktaki besin ve organik madde rezervlerinin kademeli olarak tükenmesini ifade eder.</w:t>
            </w:r>
          </w:p>
        </w:tc>
        <w:tc>
          <w:tcPr>
            <w:tcW w:w="616" w:type="dxa"/>
          </w:tcPr>
          <w:p w14:paraId="54515DF4"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4</w:t>
            </w:r>
          </w:p>
        </w:tc>
      </w:tr>
      <w:tr w:rsidR="003F670C" w:rsidRPr="00484F81" w14:paraId="41210FF3" w14:textId="77777777" w:rsidTr="2C6C7817">
        <w:tc>
          <w:tcPr>
            <w:tcW w:w="2062" w:type="dxa"/>
          </w:tcPr>
          <w:p w14:paraId="7ACFA20D" w14:textId="77777777" w:rsidR="003F670C" w:rsidRPr="00484F81" w:rsidRDefault="003F670C" w:rsidP="00A655ED">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Yaşayan sistem</w:t>
            </w:r>
          </w:p>
        </w:tc>
        <w:tc>
          <w:tcPr>
            <w:tcW w:w="1469" w:type="dxa"/>
          </w:tcPr>
          <w:p w14:paraId="0A88BCF8" w14:textId="77777777" w:rsidR="003F670C" w:rsidRPr="00484F81" w:rsidRDefault="003F670C" w:rsidP="00A655ED">
            <w:pPr>
              <w:jc w:val="both"/>
              <w:rPr>
                <w:rFonts w:ascii="Times New Roman" w:hAnsi="Times New Roman" w:cs="Times New Roman"/>
                <w:lang w:val="en-GB"/>
              </w:rPr>
            </w:pPr>
          </w:p>
        </w:tc>
        <w:tc>
          <w:tcPr>
            <w:tcW w:w="5615" w:type="dxa"/>
          </w:tcPr>
          <w:p w14:paraId="3AC62D77"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lang w:val="tr"/>
              </w:rPr>
              <w:t>Çevre bilimi bağlamında çevresiyle etkileşime giren ve yaşam özellikleri sergileyen herhangi bir biyolojik varlığı veya topluluğu ifade eder. Bu tanımın kapsamına sadece bireysel organizmalar değil, aynı zamanda popülasyonlar, topluluklar, ekosistemler ve bir bütün olarak biyosfer de girer. Yaşayan sistemlere örnek olarak ekosistemler, mikrobiyal topluluklar veya besin ağları verilebilir.</w:t>
            </w:r>
          </w:p>
          <w:p w14:paraId="5FCB10FC"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lang w:val="tr"/>
              </w:rPr>
              <w:t>Yaşayan sistemlerin anlaşılması, biyoçeşitliliğin ve ekosistem sağlığının korunmasını amaçlayan sürdürülebilir çevre uygulamaları ve politikalarının geliştirilmesi açısından son derece önemlidir.</w:t>
            </w:r>
          </w:p>
          <w:p w14:paraId="0C577CD3" w14:textId="77777777" w:rsidR="003F670C" w:rsidRPr="00484F81" w:rsidRDefault="003F670C" w:rsidP="00A655ED">
            <w:pPr>
              <w:jc w:val="both"/>
              <w:rPr>
                <w:rFonts w:ascii="Times New Roman" w:hAnsi="Times New Roman" w:cs="Times New Roman"/>
                <w:lang w:val="tr"/>
              </w:rPr>
            </w:pPr>
          </w:p>
          <w:p w14:paraId="135C6600"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lang w:val="tr"/>
              </w:rPr>
              <w:t xml:space="preserve">Yaşayan sistemlerin özellikleri şunlardır: </w:t>
            </w:r>
          </w:p>
          <w:p w14:paraId="5AC1BC14"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b/>
                <w:lang w:val="tr"/>
              </w:rPr>
              <w:t>Birbirine bağlılık</w:t>
            </w:r>
            <w:r w:rsidRPr="00484F81">
              <w:rPr>
                <w:rFonts w:ascii="Times New Roman" w:hAnsi="Times New Roman" w:cs="Times New Roman"/>
                <w:lang w:val="tr"/>
              </w:rPr>
              <w:t>: Yaşayan sistemler, organizmalar (bitkiler, hayvanlar, mikroorganizmalar) ve bunların fiziksel çevreleri (toprak, su, hava) de dahil olmak üzere çeşitli bileşenler arasındaki karmaşık etkileşimler ile tanımlanır. Bu etkileşimler besin döngüsünü, enerji akışını ve genel ekosistem sağlığını etkileyebilmektedir.</w:t>
            </w:r>
          </w:p>
          <w:p w14:paraId="5559404D"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b/>
                <w:lang w:val="tr"/>
              </w:rPr>
              <w:t>Uyum Sağlama ve Evrim</w:t>
            </w:r>
            <w:r w:rsidRPr="00484F81">
              <w:rPr>
                <w:rFonts w:ascii="Times New Roman" w:hAnsi="Times New Roman" w:cs="Times New Roman"/>
                <w:lang w:val="tr"/>
              </w:rPr>
              <w:t>: Yaşayan sistemler, evrimsel süreçler yoluyla zaman içinde çevresel değişikliklere uyum sağlarlar. Bu uyum yeteneği, değişen iklimlerde ve ekosistemlerde hayatta kalabilmek için çok önemlidir.</w:t>
            </w:r>
          </w:p>
          <w:p w14:paraId="5C04BF89"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b/>
                <w:lang w:val="tr"/>
              </w:rPr>
              <w:t>Sürdürülebilirlik</w:t>
            </w:r>
            <w:r w:rsidRPr="00484F81">
              <w:rPr>
                <w:rFonts w:ascii="Times New Roman" w:hAnsi="Times New Roman" w:cs="Times New Roman"/>
                <w:lang w:val="tr"/>
              </w:rPr>
              <w:t>: Çevre bilimi bağlamında yaşayan sistemler, ekolojik dengeyi sürdürebilme ve uzun vadede yaşamı destekleme yeteneği olan sürdürülebilirliği ön plana çıkarır. Bu, biyoçeşitliliği ve çevresel stres faktörlerine karşı direnci teşvik eden uygulamaları içerir.</w:t>
            </w:r>
          </w:p>
          <w:p w14:paraId="3D34C462"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b/>
                <w:lang w:val="tr"/>
              </w:rPr>
              <w:t>Ekosistem Hizmetleri</w:t>
            </w:r>
            <w:r w:rsidRPr="00484F81">
              <w:rPr>
                <w:rFonts w:ascii="Times New Roman" w:hAnsi="Times New Roman" w:cs="Times New Roman"/>
                <w:lang w:val="tr"/>
              </w:rPr>
              <w:t>: Yaşayan sistemler, tozlaşma, su arıtma, karbon tutma ve toprak verimliliği gibi çok önemli hizmetler sağlar. Bu hizmetlerin anlaşılması, doğal kaynakların yönetilmesi ve çevresel zorlukların ele alınması açısından hayati önemdedir.</w:t>
            </w:r>
          </w:p>
          <w:p w14:paraId="2C5EC6BC"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b/>
                <w:lang w:val="tr"/>
              </w:rPr>
              <w:t>İnsan Etkisi</w:t>
            </w:r>
            <w:r w:rsidRPr="00484F81">
              <w:rPr>
                <w:rFonts w:ascii="Times New Roman" w:hAnsi="Times New Roman" w:cs="Times New Roman"/>
                <w:lang w:val="tr"/>
              </w:rPr>
              <w:t>: İnsan faaliyetleri, kirlilik, habitat tahribatı, iklim değişikliği ve kaynak sömürüsü yoluyla yaşayan sistemleri önemli ölçüde etkilemektedir. Çevre bilimi bu etkileri anlamaya çalışır ve bu etkileri hafifletmeye ve iyileştirmeye yönelik stratejiler geliştirir.</w:t>
            </w:r>
          </w:p>
          <w:p w14:paraId="4AFAD9B0" w14:textId="77777777" w:rsidR="003F670C" w:rsidRPr="00484F81" w:rsidRDefault="003F670C" w:rsidP="00A655ED">
            <w:pPr>
              <w:jc w:val="both"/>
              <w:rPr>
                <w:rFonts w:ascii="Times New Roman" w:hAnsi="Times New Roman" w:cs="Times New Roman"/>
                <w:lang w:val="tr"/>
              </w:rPr>
            </w:pPr>
          </w:p>
        </w:tc>
        <w:tc>
          <w:tcPr>
            <w:tcW w:w="616" w:type="dxa"/>
          </w:tcPr>
          <w:p w14:paraId="147E020B" w14:textId="77777777" w:rsidR="003F670C" w:rsidRPr="00484F81" w:rsidRDefault="003F670C" w:rsidP="00A655ED">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19, 20</w:t>
            </w:r>
          </w:p>
        </w:tc>
      </w:tr>
      <w:tr w:rsidR="003F670C" w:rsidRPr="00484F81" w14:paraId="1DBF8F6D" w14:textId="77777777" w:rsidTr="2C6C7817">
        <w:tc>
          <w:tcPr>
            <w:tcW w:w="2062" w:type="dxa"/>
          </w:tcPr>
          <w:p w14:paraId="2C6DC0B5" w14:textId="77777777" w:rsidR="003F670C" w:rsidRPr="00484F81" w:rsidRDefault="003F670C" w:rsidP="002A67F8">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Yaygınlaştırma</w:t>
            </w:r>
          </w:p>
        </w:tc>
        <w:tc>
          <w:tcPr>
            <w:tcW w:w="1469" w:type="dxa"/>
          </w:tcPr>
          <w:p w14:paraId="0986BB05" w14:textId="77777777" w:rsidR="003F670C" w:rsidRPr="00484F81" w:rsidRDefault="003F670C" w:rsidP="002A67F8">
            <w:pPr>
              <w:jc w:val="both"/>
              <w:rPr>
                <w:rFonts w:ascii="Times New Roman" w:hAnsi="Times New Roman" w:cs="Times New Roman"/>
                <w:lang w:val="en-GB"/>
              </w:rPr>
            </w:pPr>
          </w:p>
        </w:tc>
        <w:tc>
          <w:tcPr>
            <w:tcW w:w="5615" w:type="dxa"/>
          </w:tcPr>
          <w:p w14:paraId="10C16B70" w14:textId="77777777" w:rsidR="003F670C" w:rsidRPr="00484F81" w:rsidRDefault="003F670C" w:rsidP="002A67F8">
            <w:pPr>
              <w:jc w:val="both"/>
              <w:rPr>
                <w:rFonts w:ascii="Times New Roman" w:hAnsi="Times New Roman" w:cs="Times New Roman"/>
                <w:lang w:val="tr"/>
              </w:rPr>
            </w:pPr>
            <w:r w:rsidRPr="00484F81">
              <w:rPr>
                <w:rFonts w:ascii="Times New Roman" w:hAnsi="Times New Roman" w:cs="Times New Roman"/>
                <w:lang w:val="tr"/>
              </w:rPr>
              <w:t xml:space="preserve">Arazi alanına göre sermaye ve girdi (örneğin gübre, tarım ilacı, makine, enerji) kullanımının azaltılması sürecini ifade eder. Arazi alanı başına düşen girdilerin azalması sayesinde çevre üzerindeki baskı azalabilir. Örneğin kullanılan </w:t>
            </w:r>
            <w:r w:rsidRPr="00484F81">
              <w:rPr>
                <w:rFonts w:ascii="Times New Roman" w:hAnsi="Times New Roman" w:cs="Times New Roman"/>
                <w:lang w:val="tr"/>
              </w:rPr>
              <w:lastRenderedPageBreak/>
              <w:t>pestisitlerin azaltılması, pestisitlerin yüzey ve yeraltı sularına karışma riskinin ('birim alan başına kayıp') azalmasına yol açabilir. Ancak girdi kullanımındaki azaltmanın çevre üzerindeki fiili etkisi sadece kullanılan girdilerin miktarına değil, aynı zamanda bunların nasıl uygulandığına ve azalan girdilerin ne ölçüde daha düşük üretime yol açtığına da bağlıdır ('birim ürün başına kayıp'). Bu nedenle, yaygınlaştırma süreci ille de çevresel açıdan daha iyi bir duruma yol açmaz.</w:t>
            </w:r>
          </w:p>
        </w:tc>
        <w:tc>
          <w:tcPr>
            <w:tcW w:w="616" w:type="dxa"/>
          </w:tcPr>
          <w:p w14:paraId="67435923"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lastRenderedPageBreak/>
              <w:t>4</w:t>
            </w:r>
          </w:p>
        </w:tc>
      </w:tr>
      <w:tr w:rsidR="003F670C" w:rsidRPr="00484F81" w14:paraId="7FF16113" w14:textId="77777777" w:rsidTr="2C6C7817">
        <w:tc>
          <w:tcPr>
            <w:tcW w:w="2062" w:type="dxa"/>
          </w:tcPr>
          <w:p w14:paraId="58EDF7CD" w14:textId="77777777" w:rsidR="003F670C" w:rsidRPr="00484F81" w:rsidRDefault="003F670C" w:rsidP="00A655ED">
            <w:pPr>
              <w:rPr>
                <w:rFonts w:ascii="Times New Roman" w:hAnsi="Times New Roman" w:cs="Times New Roman"/>
                <w:b/>
                <w:color w:val="3A7C22" w:themeColor="accent6" w:themeShade="BF"/>
                <w:lang w:val="en-GB"/>
              </w:rPr>
            </w:pPr>
            <w:r w:rsidRPr="00484F81">
              <w:rPr>
                <w:rFonts w:ascii="Times New Roman" w:hAnsi="Times New Roman" w:cs="Times New Roman"/>
                <w:b/>
                <w:color w:val="3A7C22" w:themeColor="accent6" w:themeShade="BF"/>
                <w:lang w:val="tr"/>
              </w:rPr>
              <w:t>Yeni iletişim yöntemleri</w:t>
            </w:r>
          </w:p>
          <w:p w14:paraId="3C485DF2" w14:textId="77777777" w:rsidR="003F670C" w:rsidRPr="00484F81" w:rsidRDefault="003F670C" w:rsidP="00A655ED">
            <w:pPr>
              <w:rPr>
                <w:rFonts w:ascii="Times New Roman" w:hAnsi="Times New Roman" w:cs="Times New Roman"/>
                <w:b/>
                <w:color w:val="D86DCB" w:themeColor="accent5" w:themeTint="99"/>
                <w:lang w:val="en-GB"/>
              </w:rPr>
            </w:pPr>
          </w:p>
        </w:tc>
        <w:tc>
          <w:tcPr>
            <w:tcW w:w="1469" w:type="dxa"/>
          </w:tcPr>
          <w:p w14:paraId="3F48EB06" w14:textId="77777777" w:rsidR="003F670C" w:rsidRPr="00484F81" w:rsidRDefault="003F670C" w:rsidP="00A655ED">
            <w:pPr>
              <w:jc w:val="both"/>
              <w:rPr>
                <w:rFonts w:ascii="Times New Roman" w:hAnsi="Times New Roman" w:cs="Times New Roman"/>
                <w:lang w:val="en-GB"/>
              </w:rPr>
            </w:pPr>
          </w:p>
        </w:tc>
        <w:tc>
          <w:tcPr>
            <w:tcW w:w="5615" w:type="dxa"/>
          </w:tcPr>
          <w:p w14:paraId="6B6D2469" w14:textId="77777777" w:rsidR="003F670C" w:rsidRPr="00484F81" w:rsidRDefault="003F670C" w:rsidP="00A655ED">
            <w:pPr>
              <w:jc w:val="both"/>
              <w:rPr>
                <w:rFonts w:ascii="Times New Roman" w:hAnsi="Times New Roman" w:cs="Times New Roman"/>
                <w:lang w:val="tr"/>
              </w:rPr>
            </w:pPr>
            <w:r w:rsidRPr="00484F81">
              <w:rPr>
                <w:rFonts w:ascii="Times New Roman" w:hAnsi="Times New Roman" w:cs="Times New Roman"/>
                <w:lang w:val="tr"/>
              </w:rPr>
              <w:t>Bireyler, kuruluşlar ve kamuoyu nezdinde bilgi alışverişini kolaylaştıran yenilikçi stratejileri ve teknolojileri ifade eder. Bu yöntemler, özellikle eğitim ve halkla ilişkiler başta olmak üzere çeşitli bağlamlarda etkileşimi, katılımı ve erişilebilirliği artıran çeşitli dijital araç ve platformların kullanımını öngörür.</w:t>
            </w:r>
          </w:p>
        </w:tc>
        <w:tc>
          <w:tcPr>
            <w:tcW w:w="616" w:type="dxa"/>
          </w:tcPr>
          <w:p w14:paraId="551ACB2D" w14:textId="77777777" w:rsidR="003F670C" w:rsidRPr="00484F81" w:rsidRDefault="003F670C" w:rsidP="00A655ED">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24,25, 26, 27</w:t>
            </w:r>
          </w:p>
        </w:tc>
      </w:tr>
      <w:tr w:rsidR="003F670C" w:rsidRPr="00484F81" w14:paraId="59C40C7F" w14:textId="77777777" w:rsidTr="2C6C7817">
        <w:tc>
          <w:tcPr>
            <w:tcW w:w="2062" w:type="dxa"/>
          </w:tcPr>
          <w:p w14:paraId="6A260D09" w14:textId="77777777" w:rsidR="003F670C" w:rsidRPr="00484F81" w:rsidRDefault="003F670C" w:rsidP="002A67F8">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Yeraltı suyu</w:t>
            </w:r>
          </w:p>
        </w:tc>
        <w:tc>
          <w:tcPr>
            <w:tcW w:w="1469" w:type="dxa"/>
          </w:tcPr>
          <w:p w14:paraId="50CF0B47" w14:textId="77777777" w:rsidR="003F670C" w:rsidRPr="00484F81" w:rsidRDefault="003F670C" w:rsidP="00525540">
            <w:pPr>
              <w:jc w:val="both"/>
              <w:rPr>
                <w:rFonts w:ascii="Times New Roman" w:hAnsi="Times New Roman" w:cs="Times New Roman"/>
                <w:lang w:val="en-GB"/>
              </w:rPr>
            </w:pPr>
          </w:p>
        </w:tc>
        <w:tc>
          <w:tcPr>
            <w:tcW w:w="5615" w:type="dxa"/>
          </w:tcPr>
          <w:p w14:paraId="31F08A0C" w14:textId="77777777" w:rsidR="003F670C" w:rsidRPr="00484F81" w:rsidRDefault="003F670C" w:rsidP="00525540">
            <w:pPr>
              <w:jc w:val="both"/>
              <w:rPr>
                <w:rFonts w:ascii="Times New Roman" w:hAnsi="Times New Roman" w:cs="Times New Roman"/>
                <w:lang w:val="tr"/>
              </w:rPr>
            </w:pPr>
            <w:r w:rsidRPr="00484F81">
              <w:rPr>
                <w:rFonts w:ascii="Times New Roman" w:hAnsi="Times New Roman" w:cs="Times New Roman"/>
                <w:lang w:val="tr"/>
              </w:rPr>
              <w:t>Yer kabuğunun boşluklarını (toprak, kum ve kayalardaki gözenekler, yarıklar gibi) bitişik olarak dolduran ve vadoz (doymamış) bölgelerdeki sular hariç olmak üzere kuyuları ve pınarları besleyen, yer yüzeyinin altında bulunan tatlı suları ifade eder. Bu tanım, hem suni hem de doğal olarak oluşan ve en azından mevsimsel kullanım için yeterli kaliteye sahip tüm kalıcı ve geçici su birikintileri için geçerlidir. Yeraltı su kaynakları, iklim koşullarına bağlı olarak yağmur ve eriyen karlarla yenilenir veya yeniden beslenir. Bunlar genellikle bir yeraltı oluşumundan veya bu oluşum yoluyla geri kazanılabilir.</w:t>
            </w:r>
          </w:p>
        </w:tc>
        <w:tc>
          <w:tcPr>
            <w:tcW w:w="616" w:type="dxa"/>
          </w:tcPr>
          <w:p w14:paraId="73ECAD5F"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4</w:t>
            </w:r>
          </w:p>
        </w:tc>
      </w:tr>
      <w:tr w:rsidR="003F670C" w:rsidRPr="00484F81" w14:paraId="68164DEE" w14:textId="77777777" w:rsidTr="2C6C7817">
        <w:tc>
          <w:tcPr>
            <w:tcW w:w="2062" w:type="dxa"/>
          </w:tcPr>
          <w:p w14:paraId="51204F0F" w14:textId="77777777" w:rsidR="003F670C" w:rsidRPr="00484F81" w:rsidRDefault="003F670C" w:rsidP="002A67F8">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Yeşil gübre</w:t>
            </w:r>
          </w:p>
        </w:tc>
        <w:tc>
          <w:tcPr>
            <w:tcW w:w="1469" w:type="dxa"/>
          </w:tcPr>
          <w:p w14:paraId="5F85D401" w14:textId="77777777" w:rsidR="003F670C" w:rsidRPr="00484F81" w:rsidRDefault="003F670C" w:rsidP="00525540">
            <w:pPr>
              <w:jc w:val="both"/>
              <w:rPr>
                <w:rFonts w:ascii="Times New Roman" w:hAnsi="Times New Roman" w:cs="Times New Roman"/>
                <w:lang w:val="en-GB"/>
              </w:rPr>
            </w:pPr>
          </w:p>
        </w:tc>
        <w:tc>
          <w:tcPr>
            <w:tcW w:w="5615" w:type="dxa"/>
          </w:tcPr>
          <w:p w14:paraId="2C23173C" w14:textId="77777777" w:rsidR="003F670C" w:rsidRPr="00484F81" w:rsidRDefault="003F670C" w:rsidP="00525540">
            <w:pPr>
              <w:jc w:val="both"/>
              <w:rPr>
                <w:rFonts w:ascii="Times New Roman" w:hAnsi="Times New Roman" w:cs="Times New Roman"/>
                <w:lang w:val="en-GB"/>
              </w:rPr>
            </w:pPr>
            <w:r w:rsidRPr="00484F81">
              <w:rPr>
                <w:rFonts w:ascii="Times New Roman" w:hAnsi="Times New Roman" w:cs="Times New Roman"/>
                <w:lang w:val="tr"/>
              </w:rPr>
              <w:t>İki ana ürün sezonu arasında yetiştirilen, toprak verimliliğini artırmayı amaçlayan, genellikle gübre ve hayvan gübresi kullanımı veya atmosferik azotu sabitleme özelliği nedeniyle azot (N) sınırlamasının olduğu koşullarda yetişmeyen hasat edilmemiş ürünleri ifade eder.</w:t>
            </w:r>
          </w:p>
        </w:tc>
        <w:tc>
          <w:tcPr>
            <w:tcW w:w="616" w:type="dxa"/>
          </w:tcPr>
          <w:p w14:paraId="593F2FB6"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4</w:t>
            </w:r>
          </w:p>
        </w:tc>
      </w:tr>
      <w:tr w:rsidR="003F670C" w:rsidRPr="00484F81" w14:paraId="2EA92424" w14:textId="77777777" w:rsidTr="2C6C7817">
        <w:tc>
          <w:tcPr>
            <w:tcW w:w="2062" w:type="dxa"/>
          </w:tcPr>
          <w:p w14:paraId="3AB8841E" w14:textId="77777777" w:rsidR="003F670C" w:rsidRPr="00484F81" w:rsidRDefault="003F670C" w:rsidP="002A67F8">
            <w:pPr>
              <w:rPr>
                <w:rFonts w:ascii="Times New Roman" w:hAnsi="Times New Roman" w:cs="Times New Roman"/>
                <w:b/>
                <w:color w:val="D86DCB" w:themeColor="accent5" w:themeTint="99"/>
                <w:lang w:val="en-GB"/>
              </w:rPr>
            </w:pPr>
            <w:r w:rsidRPr="00484F81">
              <w:rPr>
                <w:rFonts w:ascii="Times New Roman" w:hAnsi="Times New Roman" w:cs="Times New Roman"/>
                <w:b/>
                <w:color w:val="3A7C22" w:themeColor="accent6" w:themeShade="BF"/>
                <w:lang w:val="tr"/>
              </w:rPr>
              <w:t>Yoğunlaştırma</w:t>
            </w:r>
          </w:p>
        </w:tc>
        <w:tc>
          <w:tcPr>
            <w:tcW w:w="1469" w:type="dxa"/>
          </w:tcPr>
          <w:p w14:paraId="53B158E0" w14:textId="77777777" w:rsidR="003F670C" w:rsidRPr="00484F81" w:rsidRDefault="003F670C" w:rsidP="00525540">
            <w:pPr>
              <w:jc w:val="both"/>
              <w:rPr>
                <w:rFonts w:ascii="Times New Roman" w:hAnsi="Times New Roman" w:cs="Times New Roman"/>
                <w:lang w:val="en-GB"/>
              </w:rPr>
            </w:pPr>
          </w:p>
        </w:tc>
        <w:tc>
          <w:tcPr>
            <w:tcW w:w="5615" w:type="dxa"/>
          </w:tcPr>
          <w:p w14:paraId="55AB6B61" w14:textId="77777777" w:rsidR="003F670C" w:rsidRPr="00484F81" w:rsidRDefault="003F670C" w:rsidP="00525540">
            <w:pPr>
              <w:jc w:val="both"/>
              <w:rPr>
                <w:rFonts w:ascii="Times New Roman" w:hAnsi="Times New Roman" w:cs="Times New Roman"/>
                <w:lang w:val="tr"/>
              </w:rPr>
            </w:pPr>
            <w:r w:rsidRPr="00484F81">
              <w:rPr>
                <w:rFonts w:ascii="Times New Roman" w:hAnsi="Times New Roman" w:cs="Times New Roman"/>
                <w:lang w:val="tr"/>
              </w:rPr>
              <w:t>Birim alandaki tarımsal üretimi artırmak için arazi alanına göre girdi (işgücü, bilgi, enerji, gübre, pestisit, makine) kullanımını artırma sürecini ifade eder. Yoğunlaştırma, yönetimsel girdilerde orantılı bir artış olmaksızın girdi kullanımında gelişigüzel bir artış içeriyorsa çevre üzerindeki baskıyı artırabilir. Örneğin gübre ve pestisit kullanımının artırılması, besin ve pestisitlerin yüzey ve yeraltı sularına karışma riskini artırabilir ('birim alan başına kayıp'). Ancak girdi kullanımının çevre üzerindeki fiili etkisi sadece kullanılan girdilerin miktarına değil, aynı zamanda bunların nasıl kullanıldığına ve üretim artışına ne ölçüde katkıda bulunduğuna da bağlıdır ('üretilen birim başına kayıp'). Bu yüzden yoğunlaştırma ille de çevresel bozulmaya yol açacak diye bir durum söz konusu değildir.</w:t>
            </w:r>
          </w:p>
        </w:tc>
        <w:tc>
          <w:tcPr>
            <w:tcW w:w="616" w:type="dxa"/>
          </w:tcPr>
          <w:p w14:paraId="2C43588F" w14:textId="77777777" w:rsidR="003F670C" w:rsidRPr="00484F81" w:rsidRDefault="003F670C" w:rsidP="002A67F8">
            <w:pPr>
              <w:rPr>
                <w:rFonts w:ascii="Times New Roman" w:hAnsi="Times New Roman" w:cs="Times New Roman"/>
                <w:color w:val="663300"/>
                <w:sz w:val="16"/>
                <w:szCs w:val="16"/>
                <w:lang w:val="en-GB"/>
              </w:rPr>
            </w:pPr>
            <w:r w:rsidRPr="00484F81">
              <w:rPr>
                <w:rFonts w:ascii="Times New Roman" w:hAnsi="Times New Roman" w:cs="Times New Roman"/>
                <w:color w:val="663300"/>
                <w:sz w:val="16"/>
                <w:szCs w:val="16"/>
                <w:lang w:val="tr"/>
              </w:rPr>
              <w:t>4</w:t>
            </w:r>
          </w:p>
        </w:tc>
      </w:tr>
      <w:tr w:rsidR="00A655ED" w:rsidRPr="00484F81" w14:paraId="78697CF3" w14:textId="77777777" w:rsidTr="2C6C7817">
        <w:tc>
          <w:tcPr>
            <w:tcW w:w="2062" w:type="dxa"/>
          </w:tcPr>
          <w:p w14:paraId="1E6E5ADB" w14:textId="77777777" w:rsidR="00A655ED" w:rsidRPr="00484F81" w:rsidRDefault="00A655ED" w:rsidP="00A655ED">
            <w:pPr>
              <w:rPr>
                <w:rFonts w:ascii="Times New Roman" w:hAnsi="Times New Roman" w:cs="Times New Roman"/>
                <w:b/>
                <w:color w:val="D86DCB" w:themeColor="accent5" w:themeTint="99"/>
                <w:lang w:val="en-GB"/>
              </w:rPr>
            </w:pPr>
          </w:p>
        </w:tc>
        <w:tc>
          <w:tcPr>
            <w:tcW w:w="1469" w:type="dxa"/>
          </w:tcPr>
          <w:p w14:paraId="0AA056E2" w14:textId="77777777" w:rsidR="00A655ED" w:rsidRPr="00484F81" w:rsidRDefault="00A655ED" w:rsidP="00A655ED">
            <w:pPr>
              <w:jc w:val="both"/>
              <w:rPr>
                <w:rFonts w:ascii="Times New Roman" w:hAnsi="Times New Roman" w:cs="Times New Roman"/>
                <w:lang w:val="en-GB"/>
              </w:rPr>
            </w:pPr>
          </w:p>
        </w:tc>
        <w:tc>
          <w:tcPr>
            <w:tcW w:w="5615" w:type="dxa"/>
          </w:tcPr>
          <w:p w14:paraId="4431CEFA" w14:textId="77777777" w:rsidR="00A655ED" w:rsidRPr="00484F81" w:rsidRDefault="00A655ED" w:rsidP="00A655ED">
            <w:pPr>
              <w:jc w:val="both"/>
              <w:rPr>
                <w:rFonts w:ascii="Times New Roman" w:hAnsi="Times New Roman" w:cs="Times New Roman"/>
                <w:lang w:val="en-GB"/>
              </w:rPr>
            </w:pPr>
          </w:p>
        </w:tc>
        <w:tc>
          <w:tcPr>
            <w:tcW w:w="616" w:type="dxa"/>
          </w:tcPr>
          <w:p w14:paraId="45DE3379" w14:textId="77777777" w:rsidR="00A655ED" w:rsidRPr="00484F81" w:rsidRDefault="00A655ED" w:rsidP="00A655ED">
            <w:pPr>
              <w:rPr>
                <w:rFonts w:ascii="Times New Roman" w:hAnsi="Times New Roman" w:cs="Times New Roman"/>
                <w:color w:val="663300"/>
                <w:sz w:val="16"/>
                <w:szCs w:val="16"/>
                <w:lang w:val="en-GB"/>
              </w:rPr>
            </w:pPr>
          </w:p>
        </w:tc>
      </w:tr>
    </w:tbl>
    <w:p w14:paraId="7B4FB9C5" w14:textId="77777777" w:rsidR="00AD6E49" w:rsidRPr="00484F81" w:rsidRDefault="00AD6E49" w:rsidP="00AD6E49">
      <w:pPr>
        <w:pStyle w:val="ListParagraph"/>
        <w:spacing w:after="0"/>
        <w:ind w:left="0"/>
        <w:rPr>
          <w:rFonts w:ascii="Arial" w:hAnsi="Arial" w:cs="Arial"/>
          <w:b/>
          <w:color w:val="3A7C22" w:themeColor="accent6" w:themeShade="BF"/>
          <w:sz w:val="24"/>
          <w:szCs w:val="24"/>
          <w:lang w:val="en-GB"/>
        </w:rPr>
      </w:pPr>
    </w:p>
    <w:p w14:paraId="3C96A377" w14:textId="3F0B9E55" w:rsidR="00AD6E49" w:rsidRPr="00484F81" w:rsidRDefault="00AD6E49" w:rsidP="00AD6E49">
      <w:pPr>
        <w:pStyle w:val="ListParagraph"/>
        <w:spacing w:after="0"/>
        <w:ind w:left="0"/>
        <w:rPr>
          <w:rFonts w:ascii="Times New Roman" w:hAnsi="Times New Roman" w:cs="Times New Roman"/>
          <w:b/>
          <w:color w:val="3A7C22" w:themeColor="accent6" w:themeShade="BF"/>
          <w:sz w:val="24"/>
          <w:szCs w:val="24"/>
          <w:lang w:val="en-GB"/>
        </w:rPr>
      </w:pPr>
      <w:r w:rsidRPr="00484F81">
        <w:rPr>
          <w:rFonts w:ascii="Times New Roman" w:hAnsi="Times New Roman" w:cs="Times New Roman"/>
          <w:b/>
          <w:color w:val="3A7C22" w:themeColor="accent6" w:themeShade="BF"/>
          <w:sz w:val="24"/>
          <w:szCs w:val="24"/>
          <w:lang w:val="tr"/>
        </w:rPr>
        <w:t>Referanslar:</w:t>
      </w:r>
    </w:p>
    <w:p w14:paraId="7A09F175" w14:textId="77777777" w:rsidR="00AD6E49" w:rsidRPr="00484F81" w:rsidRDefault="00AD6E49" w:rsidP="00AD6E49">
      <w:pPr>
        <w:pStyle w:val="ListParagraph"/>
        <w:spacing w:after="0"/>
        <w:ind w:left="0"/>
        <w:rPr>
          <w:rFonts w:ascii="Times New Roman" w:hAnsi="Times New Roman" w:cs="Times New Roman"/>
          <w:b/>
          <w:color w:val="3A7C22" w:themeColor="accent6" w:themeShade="BF"/>
          <w:lang w:val="en-GB"/>
        </w:rPr>
      </w:pPr>
    </w:p>
    <w:p w14:paraId="6A80FE8D" w14:textId="2F885DAC" w:rsidR="00AD6E49" w:rsidRPr="00484F81" w:rsidRDefault="00AD6E49" w:rsidP="003B4948">
      <w:pPr>
        <w:pStyle w:val="ListParagraph"/>
        <w:numPr>
          <w:ilvl w:val="0"/>
          <w:numId w:val="1"/>
        </w:numPr>
        <w:ind w:left="426" w:hanging="426"/>
        <w:rPr>
          <w:rFonts w:ascii="Times New Roman" w:hAnsi="Times New Roman" w:cs="Times New Roman"/>
          <w:color w:val="000000" w:themeColor="text1"/>
          <w:lang w:val="en-GB"/>
        </w:rPr>
      </w:pPr>
      <w:r w:rsidRPr="00484F81">
        <w:rPr>
          <w:rFonts w:ascii="Times New Roman" w:hAnsi="Times New Roman" w:cs="Times New Roman"/>
          <w:color w:val="000000" w:themeColor="text1"/>
          <w:lang w:val="tr"/>
        </w:rPr>
        <w:t xml:space="preserve">The Nature-Based Solutions for Soil Management – NBSOIL EU Project, Glossary </w:t>
      </w:r>
      <w:r w:rsidR="0000609E" w:rsidRPr="00484F81">
        <w:rPr>
          <w:rFonts w:ascii="Times New Roman" w:hAnsi="Times New Roman" w:cs="Times New Roman"/>
          <w:color w:val="000000" w:themeColor="text1"/>
          <w:lang w:val="tr"/>
        </w:rPr>
        <w:t>available</w:t>
      </w:r>
      <w:r w:rsidRPr="00484F81">
        <w:rPr>
          <w:rFonts w:ascii="Times New Roman" w:hAnsi="Times New Roman" w:cs="Times New Roman"/>
          <w:color w:val="000000" w:themeColor="text1"/>
          <w:lang w:val="tr"/>
        </w:rPr>
        <w:t xml:space="preserve"> at: </w:t>
      </w:r>
      <w:hyperlink r:id="rId17" w:history="1">
        <w:r w:rsidRPr="00484F81">
          <w:rPr>
            <w:rStyle w:val="Hyperlink"/>
            <w:rFonts w:ascii="Times New Roman" w:hAnsi="Times New Roman" w:cs="Times New Roman"/>
            <w:color w:val="000000" w:themeColor="text1"/>
            <w:lang w:val="tr"/>
          </w:rPr>
          <w:t>https://nbsoil.eu/glossary/</w:t>
        </w:r>
      </w:hyperlink>
    </w:p>
    <w:p w14:paraId="71B25A89" w14:textId="0BECBFDB" w:rsidR="00AD6E49" w:rsidRPr="00484F81" w:rsidRDefault="00AD6E49" w:rsidP="003B4948">
      <w:pPr>
        <w:pStyle w:val="ListParagraph"/>
        <w:numPr>
          <w:ilvl w:val="0"/>
          <w:numId w:val="1"/>
        </w:numPr>
        <w:ind w:left="426" w:hanging="426"/>
        <w:rPr>
          <w:rFonts w:ascii="Times New Roman" w:hAnsi="Times New Roman" w:cs="Times New Roman"/>
          <w:color w:val="000000" w:themeColor="text1"/>
          <w:lang w:val="en-GB"/>
        </w:rPr>
      </w:pPr>
      <w:r w:rsidRPr="00484F81">
        <w:rPr>
          <w:rFonts w:ascii="Times New Roman" w:hAnsi="Times New Roman" w:cs="Times New Roman"/>
          <w:color w:val="000000" w:themeColor="text1"/>
          <w:lang w:val="tr"/>
        </w:rPr>
        <w:t>Soil Health Be</w:t>
      </w:r>
      <w:r w:rsidR="492994D7" w:rsidRPr="00484F81">
        <w:rPr>
          <w:rFonts w:ascii="Times New Roman" w:hAnsi="Times New Roman" w:cs="Times New Roman"/>
          <w:color w:val="000000" w:themeColor="text1"/>
          <w:lang w:val="tr"/>
        </w:rPr>
        <w:t>n</w:t>
      </w:r>
      <w:r w:rsidRPr="00484F81">
        <w:rPr>
          <w:rFonts w:ascii="Times New Roman" w:hAnsi="Times New Roman" w:cs="Times New Roman"/>
          <w:color w:val="000000" w:themeColor="text1"/>
          <w:lang w:val="tr"/>
        </w:rPr>
        <w:t xml:space="preserve">chmarks, EU Project 2022, Glossary available at: </w:t>
      </w:r>
      <w:hyperlink r:id="rId18">
        <w:r w:rsidRPr="00484F81">
          <w:rPr>
            <w:rStyle w:val="Hyperlink"/>
            <w:rFonts w:ascii="Times New Roman" w:hAnsi="Times New Roman" w:cs="Times New Roman"/>
            <w:color w:val="000000" w:themeColor="text1"/>
            <w:lang w:val="tr"/>
          </w:rPr>
          <w:t>https://soilhealthbenchmarks.eu/glossary/</w:t>
        </w:r>
      </w:hyperlink>
    </w:p>
    <w:p w14:paraId="62482883" w14:textId="074906C9" w:rsidR="00AD6E49" w:rsidRPr="00484F81" w:rsidRDefault="00AD6E49" w:rsidP="003B4948">
      <w:pPr>
        <w:pStyle w:val="ListParagraph"/>
        <w:numPr>
          <w:ilvl w:val="0"/>
          <w:numId w:val="1"/>
        </w:numPr>
        <w:ind w:left="426" w:hanging="426"/>
        <w:rPr>
          <w:rFonts w:ascii="Times New Roman" w:hAnsi="Times New Roman" w:cs="Times New Roman"/>
          <w:color w:val="000000" w:themeColor="text1"/>
          <w:lang w:val="en-GB"/>
        </w:rPr>
      </w:pPr>
      <w:r w:rsidRPr="00484F81">
        <w:rPr>
          <w:rFonts w:ascii="Times New Roman" w:hAnsi="Times New Roman" w:cs="Times New Roman"/>
          <w:color w:val="000000" w:themeColor="text1"/>
          <w:lang w:val="tr"/>
        </w:rPr>
        <w:lastRenderedPageBreak/>
        <w:t>SoilCare Project (2023) Glossary. Available at: </w:t>
      </w:r>
      <w:r w:rsidRPr="00484F81">
        <w:fldChar w:fldCharType="begin"/>
      </w:r>
      <w:r w:rsidRPr="00484F81">
        <w:rPr>
          <w:lang w:val="en-GB"/>
        </w:rPr>
        <w:instrText>HYPERLINK "https://www.soilcare-project.eu/resources/glossary"</w:instrText>
      </w:r>
      <w:r w:rsidRPr="00484F81">
        <w:fldChar w:fldCharType="separate"/>
      </w:r>
      <w:r w:rsidRPr="00484F81">
        <w:rPr>
          <w:rStyle w:val="Hyperlink"/>
          <w:rFonts w:ascii="Times New Roman" w:hAnsi="Times New Roman" w:cs="Times New Roman"/>
          <w:color w:val="000000" w:themeColor="text1"/>
          <w:lang w:val="tr"/>
        </w:rPr>
        <w:t>https://www.soilcare-project.eu/resources/glossary</w:t>
      </w:r>
      <w:r w:rsidRPr="00484F81">
        <w:fldChar w:fldCharType="end"/>
      </w:r>
      <w:r w:rsidRPr="00484F81">
        <w:rPr>
          <w:rFonts w:ascii="Times New Roman" w:hAnsi="Times New Roman" w:cs="Times New Roman"/>
          <w:color w:val="000000" w:themeColor="text1"/>
          <w:lang w:val="tr"/>
        </w:rPr>
        <w:t xml:space="preserve"> (Accessed: 28 August 2024).</w:t>
      </w:r>
    </w:p>
    <w:p w14:paraId="0547156A" w14:textId="1488E471" w:rsidR="002834EC" w:rsidRPr="00484F81" w:rsidRDefault="002834EC" w:rsidP="003B4948">
      <w:pPr>
        <w:pStyle w:val="ListParagraph"/>
        <w:numPr>
          <w:ilvl w:val="0"/>
          <w:numId w:val="1"/>
        </w:numPr>
        <w:ind w:left="426" w:hanging="426"/>
        <w:rPr>
          <w:rFonts w:ascii="Times New Roman" w:hAnsi="Times New Roman" w:cs="Times New Roman"/>
          <w:color w:val="000000" w:themeColor="text1"/>
          <w:lang w:val="en-GB"/>
        </w:rPr>
      </w:pPr>
      <w:r w:rsidRPr="00484F81">
        <w:rPr>
          <w:rFonts w:ascii="Times New Roman" w:hAnsi="Times New Roman" w:cs="Times New Roman"/>
          <w:color w:val="000000" w:themeColor="text1"/>
          <w:lang w:val="tr"/>
        </w:rPr>
        <w:t>Landmark, EU Proje</w:t>
      </w:r>
      <w:r w:rsidR="00582A39" w:rsidRPr="00484F81">
        <w:rPr>
          <w:rFonts w:ascii="Times New Roman" w:hAnsi="Times New Roman" w:cs="Times New Roman"/>
          <w:color w:val="000000" w:themeColor="text1"/>
          <w:lang w:val="tr"/>
        </w:rPr>
        <w:t>c</w:t>
      </w:r>
      <w:r w:rsidRPr="00484F81">
        <w:rPr>
          <w:rFonts w:ascii="Times New Roman" w:hAnsi="Times New Roman" w:cs="Times New Roman"/>
          <w:color w:val="000000" w:themeColor="text1"/>
          <w:lang w:val="tr"/>
        </w:rPr>
        <w:t xml:space="preserve">t 2015, Glossary available at </w:t>
      </w:r>
      <w:hyperlink r:id="rId19" w:history="1">
        <w:r w:rsidRPr="00484F81">
          <w:rPr>
            <w:rStyle w:val="Hyperlink"/>
            <w:rFonts w:ascii="Times New Roman" w:hAnsi="Times New Roman" w:cs="Times New Roman"/>
            <w:color w:val="000000" w:themeColor="text1"/>
            <w:lang w:val="tr"/>
          </w:rPr>
          <w:t>https://landmarkproject.eu/landmark-glossary/#</w:t>
        </w:r>
      </w:hyperlink>
      <w:r w:rsidRPr="00484F81">
        <w:rPr>
          <w:rFonts w:ascii="Times New Roman" w:hAnsi="Times New Roman" w:cs="Times New Roman"/>
          <w:color w:val="000000" w:themeColor="text1"/>
          <w:lang w:val="tr"/>
        </w:rPr>
        <w:t xml:space="preserve"> (Accessed: 28 August 2024).</w:t>
      </w:r>
    </w:p>
    <w:p w14:paraId="130D4599" w14:textId="62B07926" w:rsidR="0021576C" w:rsidRPr="00484F81" w:rsidRDefault="0021576C" w:rsidP="003B4948">
      <w:pPr>
        <w:pStyle w:val="ListParagraph"/>
        <w:numPr>
          <w:ilvl w:val="0"/>
          <w:numId w:val="1"/>
        </w:numPr>
        <w:ind w:left="426" w:hanging="426"/>
        <w:rPr>
          <w:rFonts w:ascii="Times New Roman" w:hAnsi="Times New Roman" w:cs="Times New Roman"/>
          <w:color w:val="000000" w:themeColor="text1"/>
          <w:lang w:val="en-GB"/>
        </w:rPr>
      </w:pPr>
      <w:r w:rsidRPr="00484F81">
        <w:rPr>
          <w:rFonts w:ascii="Times New Roman" w:hAnsi="Times New Roman" w:cs="Times New Roman"/>
          <w:color w:val="000000" w:themeColor="text1"/>
          <w:shd w:val="clear" w:color="auto" w:fill="FFFFFF"/>
          <w:lang w:val="tr"/>
        </w:rPr>
        <w:t xml:space="preserve">Huntley, B.J. (2023). Soil, Water and Nutrients. In: Ecology of Angola. Springer, Cham. </w:t>
      </w:r>
      <w:hyperlink r:id="rId20" w:history="1">
        <w:r w:rsidRPr="00484F81">
          <w:rPr>
            <w:rStyle w:val="Hyperlink"/>
            <w:rFonts w:ascii="Times New Roman" w:hAnsi="Times New Roman" w:cs="Times New Roman"/>
            <w:color w:val="000000" w:themeColor="text1"/>
            <w:shd w:val="clear" w:color="auto" w:fill="FFFFFF"/>
            <w:lang w:val="tr"/>
          </w:rPr>
          <w:t>https://doi.org/10.1007/978-3-031-18923-4_6</w:t>
        </w:r>
      </w:hyperlink>
      <w:r w:rsidRPr="00484F81">
        <w:rPr>
          <w:rFonts w:ascii="Times New Roman" w:hAnsi="Times New Roman" w:cs="Times New Roman"/>
          <w:color w:val="000000" w:themeColor="text1"/>
          <w:shd w:val="clear" w:color="auto" w:fill="FFFFFF"/>
          <w:lang w:val="tr"/>
        </w:rPr>
        <w:t xml:space="preserve"> (</w:t>
      </w:r>
      <w:hyperlink r:id="rId21" w:anchor="citeas" w:history="1">
        <w:r w:rsidRPr="00484F81">
          <w:rPr>
            <w:rStyle w:val="Hyperlink"/>
            <w:rFonts w:ascii="Times New Roman" w:hAnsi="Times New Roman" w:cs="Times New Roman"/>
            <w:color w:val="000000" w:themeColor="text1"/>
            <w:shd w:val="clear" w:color="auto" w:fill="FFFFFF"/>
            <w:lang w:val="tr"/>
          </w:rPr>
          <w:t>https://link.springer.com/chapter/10.1007/978-3-031-18923-4_6#citeas</w:t>
        </w:r>
      </w:hyperlink>
      <w:r w:rsidRPr="00484F81">
        <w:rPr>
          <w:rFonts w:ascii="Times New Roman" w:hAnsi="Times New Roman" w:cs="Times New Roman"/>
          <w:color w:val="000000" w:themeColor="text1"/>
          <w:shd w:val="clear" w:color="auto" w:fill="FFFFFF"/>
          <w:lang w:val="tr"/>
        </w:rPr>
        <w:t>)</w:t>
      </w:r>
    </w:p>
    <w:p w14:paraId="7F33B9FF" w14:textId="77777777" w:rsidR="003B4948" w:rsidRPr="00484F81" w:rsidRDefault="0021576C" w:rsidP="003B4948">
      <w:pPr>
        <w:pStyle w:val="ListParagraph"/>
        <w:numPr>
          <w:ilvl w:val="0"/>
          <w:numId w:val="1"/>
        </w:numPr>
        <w:ind w:left="426" w:hanging="426"/>
        <w:rPr>
          <w:rFonts w:ascii="Times New Roman" w:hAnsi="Times New Roman" w:cs="Times New Roman"/>
          <w:color w:val="000000" w:themeColor="text1"/>
          <w:lang w:val="en-GB"/>
        </w:rPr>
      </w:pPr>
      <w:r w:rsidRPr="00484F81">
        <w:rPr>
          <w:rFonts w:ascii="Times New Roman" w:hAnsi="Times New Roman" w:cs="Times New Roman"/>
          <w:color w:val="000000" w:themeColor="text1"/>
          <w:lang w:val="tr"/>
        </w:rPr>
        <w:t>Radziuk, H</w:t>
      </w:r>
      <w:r w:rsidR="005A766D" w:rsidRPr="00484F81">
        <w:rPr>
          <w:rFonts w:ascii="Times New Roman" w:hAnsi="Times New Roman" w:cs="Times New Roman"/>
          <w:color w:val="000000" w:themeColor="text1"/>
          <w:lang w:val="tr"/>
        </w:rPr>
        <w:t>.</w:t>
      </w:r>
      <w:r w:rsidRPr="00484F81">
        <w:rPr>
          <w:rFonts w:ascii="Times New Roman" w:hAnsi="Times New Roman" w:cs="Times New Roman"/>
          <w:color w:val="000000" w:themeColor="text1"/>
          <w:lang w:val="tr"/>
        </w:rPr>
        <w:t>, Świtoniak.</w:t>
      </w:r>
      <w:r w:rsidR="005A766D" w:rsidRPr="00484F81">
        <w:rPr>
          <w:rFonts w:ascii="Times New Roman" w:hAnsi="Times New Roman" w:cs="Times New Roman"/>
          <w:color w:val="000000" w:themeColor="text1"/>
          <w:lang w:val="tr"/>
        </w:rPr>
        <w:t xml:space="preserve"> M. (</w:t>
      </w:r>
      <w:r w:rsidRPr="00484F81">
        <w:rPr>
          <w:rFonts w:ascii="Times New Roman" w:hAnsi="Times New Roman" w:cs="Times New Roman"/>
          <w:color w:val="000000" w:themeColor="text1"/>
          <w:lang w:val="tr"/>
        </w:rPr>
        <w:t>2022</w:t>
      </w:r>
      <w:r w:rsidR="005A766D" w:rsidRPr="00484F81">
        <w:rPr>
          <w:rFonts w:ascii="Times New Roman" w:hAnsi="Times New Roman" w:cs="Times New Roman"/>
          <w:color w:val="000000" w:themeColor="text1"/>
          <w:lang w:val="tr"/>
        </w:rPr>
        <w:t>)</w:t>
      </w:r>
      <w:r w:rsidRPr="00484F81">
        <w:rPr>
          <w:rFonts w:ascii="Times New Roman" w:hAnsi="Times New Roman" w:cs="Times New Roman"/>
          <w:color w:val="000000" w:themeColor="text1"/>
          <w:lang w:val="tr"/>
        </w:rPr>
        <w:t>. The Effect of Erosional Transformation of Soil Cover on the Stability of Soil Aggregates within Young Hummocky Moraine Landscapes in Northern Poland</w:t>
      </w:r>
      <w:r w:rsidR="005A766D" w:rsidRPr="00484F81">
        <w:rPr>
          <w:rFonts w:ascii="Times New Roman" w:hAnsi="Times New Roman" w:cs="Times New Roman"/>
          <w:color w:val="000000" w:themeColor="text1"/>
          <w:lang w:val="tr"/>
        </w:rPr>
        <w:t>.</w:t>
      </w:r>
      <w:r w:rsidRPr="00484F81">
        <w:rPr>
          <w:rFonts w:ascii="Times New Roman" w:hAnsi="Times New Roman" w:cs="Times New Roman"/>
          <w:color w:val="000000" w:themeColor="text1"/>
          <w:lang w:val="tr"/>
        </w:rPr>
        <w:t xml:space="preserve"> Agronomy 12, no. 11: 2595. </w:t>
      </w:r>
      <w:hyperlink r:id="rId22" w:history="1">
        <w:r w:rsidR="005A766D" w:rsidRPr="00484F81">
          <w:rPr>
            <w:rStyle w:val="Hyperlink"/>
            <w:rFonts w:ascii="Times New Roman" w:hAnsi="Times New Roman" w:cs="Times New Roman"/>
            <w:color w:val="000000" w:themeColor="text1"/>
            <w:lang w:val="tr"/>
          </w:rPr>
          <w:t>https://doi.org/10.3390/agronomy12112595</w:t>
        </w:r>
      </w:hyperlink>
      <w:r w:rsidR="00767523" w:rsidRPr="00484F81">
        <w:rPr>
          <w:rFonts w:ascii="Times New Roman" w:hAnsi="Times New Roman" w:cs="Times New Roman"/>
          <w:color w:val="000000" w:themeColor="text1"/>
          <w:lang w:val="tr"/>
        </w:rPr>
        <w:t>.</w:t>
      </w:r>
    </w:p>
    <w:p w14:paraId="7E736D69" w14:textId="1FB53DF2" w:rsidR="00767523" w:rsidRPr="00484F81" w:rsidRDefault="00C60A38" w:rsidP="003B4948">
      <w:pPr>
        <w:pStyle w:val="ListParagraph"/>
        <w:numPr>
          <w:ilvl w:val="0"/>
          <w:numId w:val="1"/>
        </w:numPr>
        <w:ind w:left="426" w:hanging="426"/>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lang w:val="tr"/>
        </w:rPr>
        <w:t xml:space="preserve">Hoorman, J., Reeder, R., Sundermeier, A., Islam R., Aziz, I., </w:t>
      </w:r>
      <w:r w:rsidR="001A43DB" w:rsidRPr="00484F81">
        <w:rPr>
          <w:rFonts w:ascii="Times New Roman" w:hAnsi="Times New Roman" w:cs="Times New Roman"/>
          <w:color w:val="000000" w:themeColor="text1"/>
          <w:lang w:val="tr"/>
        </w:rPr>
        <w:t xml:space="preserve">(2012). </w:t>
      </w:r>
      <w:r w:rsidRPr="00484F81">
        <w:rPr>
          <w:rFonts w:ascii="Times New Roman" w:hAnsi="Times New Roman" w:cs="Times New Roman"/>
          <w:color w:val="000000" w:themeColor="text1"/>
          <w:lang w:val="tr"/>
        </w:rPr>
        <w:t>Soil Terminology and Definitions, Ohio State University</w:t>
      </w:r>
      <w:r w:rsidR="001A43DB" w:rsidRPr="00484F81">
        <w:rPr>
          <w:rFonts w:ascii="Times New Roman" w:hAnsi="Times New Roman" w:cs="Times New Roman"/>
          <w:color w:val="000000" w:themeColor="text1"/>
          <w:lang w:val="tr"/>
        </w:rPr>
        <w:t xml:space="preserve"> extension</w:t>
      </w:r>
      <w:r w:rsidRPr="00484F81">
        <w:rPr>
          <w:rFonts w:ascii="Times New Roman" w:hAnsi="Times New Roman" w:cs="Times New Roman"/>
          <w:color w:val="000000" w:themeColor="text1"/>
          <w:lang w:val="tr"/>
        </w:rPr>
        <w:t xml:space="preserve">. </w:t>
      </w:r>
      <w:hyperlink r:id="rId23" w:history="1">
        <w:r w:rsidR="001A43DB" w:rsidRPr="00484F81">
          <w:rPr>
            <w:rStyle w:val="Hyperlink"/>
            <w:rFonts w:ascii="Times New Roman" w:hAnsi="Times New Roman" w:cs="Times New Roman"/>
            <w:lang w:val="tr"/>
          </w:rPr>
          <w:t>https://ohioline.osu.edu/factsheet/SAG-19</w:t>
        </w:r>
      </w:hyperlink>
      <w:r w:rsidR="001A43DB" w:rsidRPr="00484F81">
        <w:rPr>
          <w:rFonts w:ascii="Times New Roman" w:hAnsi="Times New Roman" w:cs="Times New Roman"/>
          <w:color w:val="000000" w:themeColor="text1"/>
          <w:lang w:val="tr"/>
        </w:rPr>
        <w:t xml:space="preserve"> (Acces</w:t>
      </w:r>
      <w:r w:rsidR="0000609E" w:rsidRPr="00484F81">
        <w:rPr>
          <w:rFonts w:ascii="Times New Roman" w:hAnsi="Times New Roman" w:cs="Times New Roman"/>
          <w:color w:val="000000" w:themeColor="text1"/>
          <w:lang w:val="tr"/>
        </w:rPr>
        <w:t>s</w:t>
      </w:r>
      <w:r w:rsidR="001A43DB" w:rsidRPr="00484F81">
        <w:rPr>
          <w:rFonts w:ascii="Times New Roman" w:hAnsi="Times New Roman" w:cs="Times New Roman"/>
          <w:color w:val="000000" w:themeColor="text1"/>
          <w:lang w:val="tr"/>
        </w:rPr>
        <w:t>ed: 29 august 2024)</w:t>
      </w:r>
    </w:p>
    <w:p w14:paraId="2D394610" w14:textId="77777777" w:rsidR="003B4948" w:rsidRPr="00484F81" w:rsidRDefault="003B4948" w:rsidP="003B4948">
      <w:pPr>
        <w:pStyle w:val="ListParagraph"/>
        <w:numPr>
          <w:ilvl w:val="0"/>
          <w:numId w:val="1"/>
        </w:numPr>
        <w:ind w:left="426" w:hanging="426"/>
        <w:jc w:val="both"/>
        <w:rPr>
          <w:rFonts w:ascii="Times New Roman" w:hAnsi="Times New Roman" w:cs="Times New Roman"/>
          <w:color w:val="000000" w:themeColor="text1"/>
          <w:lang w:val="de-DE"/>
        </w:rPr>
      </w:pPr>
      <w:r w:rsidRPr="00484F81">
        <w:rPr>
          <w:rFonts w:ascii="Times New Roman" w:hAnsi="Times New Roman" w:cs="Times New Roman"/>
          <w:color w:val="000000" w:themeColor="text1"/>
          <w:lang w:val="de-DE"/>
        </w:rPr>
        <w:t>Nahm, M., &amp; Morhart, C. (2017). Multifunktionalität und Vielfalt von Agroforstwirtschaft. Bäume in der Land(wirt)schaft–von der Theorie in die Praxis, 17-24.</w:t>
      </w:r>
    </w:p>
    <w:p w14:paraId="0941A377" w14:textId="77777777" w:rsidR="003B4948" w:rsidRPr="00484F81" w:rsidRDefault="003B4948" w:rsidP="003B4948">
      <w:pPr>
        <w:pStyle w:val="ListParagraph"/>
        <w:numPr>
          <w:ilvl w:val="0"/>
          <w:numId w:val="1"/>
        </w:numPr>
        <w:ind w:left="426" w:hanging="426"/>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lang w:val="de-DE"/>
        </w:rPr>
        <w:t xml:space="preserve">Möller, A. &amp; Höper, H. (2015). Bewertung des Einsatzes von Biokohle in der Landwirtschaft aus Sicht des Bodenschutzes. </w:t>
      </w:r>
      <w:r w:rsidRPr="00484F81">
        <w:rPr>
          <w:rFonts w:ascii="Times New Roman" w:hAnsi="Times New Roman" w:cs="Times New Roman"/>
          <w:color w:val="000000" w:themeColor="text1"/>
          <w:lang w:val="tr"/>
        </w:rPr>
        <w:t>Hannover, Landesamt für Bergbau, Energie und Geologie.</w:t>
      </w:r>
    </w:p>
    <w:p w14:paraId="3628C2EE" w14:textId="77777777" w:rsidR="003B4948" w:rsidRPr="00484F81" w:rsidRDefault="003B4948" w:rsidP="003B4948">
      <w:pPr>
        <w:pStyle w:val="ListParagraph"/>
        <w:numPr>
          <w:ilvl w:val="0"/>
          <w:numId w:val="1"/>
        </w:numPr>
        <w:ind w:left="426" w:hanging="426"/>
        <w:jc w:val="both"/>
        <w:rPr>
          <w:rFonts w:ascii="Times New Roman" w:hAnsi="Times New Roman" w:cs="Times New Roman"/>
          <w:color w:val="000000" w:themeColor="text1"/>
          <w:lang w:val="de-DE"/>
        </w:rPr>
      </w:pPr>
      <w:r w:rsidRPr="00484F81">
        <w:rPr>
          <w:rFonts w:ascii="Times New Roman" w:hAnsi="Times New Roman" w:cs="Times New Roman"/>
          <w:color w:val="000000" w:themeColor="text1"/>
          <w:lang w:val="de-DE"/>
        </w:rPr>
        <w:t>Möller, K., Sauter, G., Mann, T., Flaig, H., &amp; Breuer, J. (2022). Wissenschaftliche Bewertung der Methoden der Regenerativen Landwirtschaft. In Conference (Vol. 132, pp. 107-117).</w:t>
      </w:r>
    </w:p>
    <w:p w14:paraId="54CAEEDD" w14:textId="1165EE68" w:rsidR="006D24D6" w:rsidRPr="00484F81" w:rsidRDefault="006D24D6" w:rsidP="003B4948">
      <w:pPr>
        <w:pStyle w:val="ListParagraph"/>
        <w:numPr>
          <w:ilvl w:val="0"/>
          <w:numId w:val="1"/>
        </w:numPr>
        <w:ind w:left="426" w:hanging="426"/>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lang w:val="tr"/>
        </w:rPr>
        <w:t xml:space="preserve">European Coordination Via Campesina (2016). </w:t>
      </w:r>
      <w:r w:rsidRPr="00484F81">
        <w:rPr>
          <w:rFonts w:ascii="Times New Roman" w:hAnsi="Times New Roman" w:cs="Times New Roman"/>
          <w:lang w:val="tr"/>
        </w:rPr>
        <w:t>How do we define Land Grabbing?</w:t>
      </w:r>
      <w:r w:rsidRPr="00484F81">
        <w:rPr>
          <w:rFonts w:ascii="Times New Roman" w:hAnsi="Times New Roman" w:cs="Times New Roman"/>
          <w:color w:val="000000" w:themeColor="text1"/>
          <w:lang w:val="tr"/>
        </w:rPr>
        <w:t xml:space="preserve"> </w:t>
      </w:r>
      <w:hyperlink r:id="rId24" w:history="1">
        <w:r w:rsidRPr="00484F81">
          <w:rPr>
            <w:rStyle w:val="Hyperlink"/>
            <w:rFonts w:ascii="Times New Roman" w:hAnsi="Times New Roman" w:cs="Times New Roman"/>
            <w:lang w:val="tr"/>
          </w:rPr>
          <w:t>https://www.eurovia.org/wp-content/uploads/2016/11/defining-land-grabs.pdf</w:t>
        </w:r>
      </w:hyperlink>
      <w:r w:rsidRPr="00484F81">
        <w:rPr>
          <w:rFonts w:ascii="Times New Roman" w:hAnsi="Times New Roman" w:cs="Times New Roman"/>
          <w:color w:val="000000" w:themeColor="text1"/>
          <w:lang w:val="tr"/>
        </w:rPr>
        <w:t xml:space="preserve"> </w:t>
      </w:r>
      <w:bookmarkStart w:id="3" w:name="_Hlk180704550"/>
      <w:r w:rsidRPr="00484F81">
        <w:rPr>
          <w:rFonts w:ascii="Times New Roman" w:hAnsi="Times New Roman" w:cs="Times New Roman"/>
          <w:color w:val="000000" w:themeColor="text1"/>
          <w:lang w:val="tr"/>
        </w:rPr>
        <w:t>(Acces</w:t>
      </w:r>
      <w:r w:rsidR="0000609E" w:rsidRPr="00484F81">
        <w:rPr>
          <w:rFonts w:ascii="Times New Roman" w:hAnsi="Times New Roman" w:cs="Times New Roman"/>
          <w:color w:val="000000" w:themeColor="text1"/>
          <w:lang w:val="tr"/>
        </w:rPr>
        <w:t>s</w:t>
      </w:r>
      <w:r w:rsidRPr="00484F81">
        <w:rPr>
          <w:rFonts w:ascii="Times New Roman" w:hAnsi="Times New Roman" w:cs="Times New Roman"/>
          <w:color w:val="000000" w:themeColor="text1"/>
          <w:lang w:val="tr"/>
        </w:rPr>
        <w:t>ed:</w:t>
      </w:r>
      <w:r w:rsidR="00262263" w:rsidRPr="00484F81">
        <w:rPr>
          <w:rFonts w:ascii="Times New Roman" w:hAnsi="Times New Roman" w:cs="Times New Roman"/>
          <w:color w:val="000000" w:themeColor="text1"/>
          <w:lang w:val="tr"/>
        </w:rPr>
        <w:t xml:space="preserve"> </w:t>
      </w:r>
      <w:r w:rsidRPr="00484F81">
        <w:rPr>
          <w:rFonts w:ascii="Times New Roman" w:hAnsi="Times New Roman" w:cs="Times New Roman"/>
          <w:color w:val="000000" w:themeColor="text1"/>
          <w:lang w:val="tr"/>
        </w:rPr>
        <w:t>6.10.2024)</w:t>
      </w:r>
      <w:bookmarkEnd w:id="3"/>
    </w:p>
    <w:p w14:paraId="083A7C4A" w14:textId="18ECFB56" w:rsidR="006D24D6" w:rsidRPr="00484F81" w:rsidRDefault="006D24D6" w:rsidP="003B4948">
      <w:pPr>
        <w:pStyle w:val="ListParagraph"/>
        <w:numPr>
          <w:ilvl w:val="0"/>
          <w:numId w:val="1"/>
        </w:numPr>
        <w:ind w:left="426" w:hanging="426"/>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lang w:val="en-GB"/>
        </w:rPr>
        <w:t xml:space="preserve">Kopittke, P. M., Minasny, B., Pendall, E., Rumpel, C., &amp; McKenna, B. A. (2023). </w:t>
      </w:r>
      <w:r w:rsidRPr="00484F81">
        <w:rPr>
          <w:rFonts w:ascii="Times New Roman" w:hAnsi="Times New Roman" w:cs="Times New Roman"/>
          <w:color w:val="000000" w:themeColor="text1"/>
          <w:lang w:val="tr"/>
        </w:rPr>
        <w:t xml:space="preserve">Healthy soil for healthy humans and a healthy planet. Critical Reviews in Environmental Science and Technology, 54(3), 210–221. </w:t>
      </w:r>
      <w:hyperlink r:id="rId25" w:history="1">
        <w:r w:rsidRPr="00484F81">
          <w:rPr>
            <w:rStyle w:val="Hyperlink"/>
            <w:rFonts w:ascii="Times New Roman" w:hAnsi="Times New Roman" w:cs="Times New Roman"/>
            <w:lang w:val="tr"/>
          </w:rPr>
          <w:t>https://doi.org/10.1080/10643389.2023.2228651</w:t>
        </w:r>
      </w:hyperlink>
      <w:r w:rsidRPr="00484F81">
        <w:rPr>
          <w:rFonts w:ascii="Times New Roman" w:hAnsi="Times New Roman" w:cs="Times New Roman"/>
          <w:color w:val="000000" w:themeColor="text1"/>
          <w:lang w:val="tr"/>
        </w:rPr>
        <w:t>.</w:t>
      </w:r>
    </w:p>
    <w:p w14:paraId="46BEDADB" w14:textId="3F3CC20B" w:rsidR="00E03E8D" w:rsidRPr="00484F81" w:rsidRDefault="00E03E8D" w:rsidP="003B4948">
      <w:pPr>
        <w:pStyle w:val="ListParagraph"/>
        <w:numPr>
          <w:ilvl w:val="0"/>
          <w:numId w:val="1"/>
        </w:numPr>
        <w:ind w:left="426" w:hanging="426"/>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lang w:val="tr"/>
        </w:rPr>
        <w:t>NSRI Staff (2011). Glossary of Soil-Related Terms. 9pp. NSRI, Cranfield University, UK,</w:t>
      </w:r>
      <w:r w:rsidRPr="00484F81">
        <w:rPr>
          <w:lang w:val="tr"/>
        </w:rPr>
        <w:t xml:space="preserve"> </w:t>
      </w:r>
      <w:hyperlink r:id="rId26" w:history="1">
        <w:r w:rsidRPr="00484F81">
          <w:rPr>
            <w:rStyle w:val="Hyperlink"/>
            <w:rFonts w:ascii="Times New Roman" w:hAnsi="Times New Roman" w:cs="Times New Roman"/>
            <w:lang w:val="tr"/>
          </w:rPr>
          <w:t>https://www.landis.org.uk/downloads/downloads/Glossary.pdf</w:t>
        </w:r>
      </w:hyperlink>
    </w:p>
    <w:p w14:paraId="22DED156" w14:textId="77777777" w:rsidR="00DD73DC" w:rsidRPr="00484F81" w:rsidRDefault="00DD73DC" w:rsidP="003B4948">
      <w:pPr>
        <w:pStyle w:val="ListParagraph"/>
        <w:numPr>
          <w:ilvl w:val="0"/>
          <w:numId w:val="1"/>
        </w:numPr>
        <w:ind w:left="426" w:hanging="426"/>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lang w:val="da-DK"/>
        </w:rPr>
        <w:t xml:space="preserve">Reiff, J., Jungkunst, H.F., Mauser, K.M. et al. </w:t>
      </w:r>
      <w:r w:rsidRPr="00484F81">
        <w:rPr>
          <w:rFonts w:ascii="Times New Roman" w:hAnsi="Times New Roman" w:cs="Times New Roman"/>
          <w:color w:val="000000" w:themeColor="text1"/>
          <w:lang w:val="tr"/>
        </w:rPr>
        <w:t xml:space="preserve">(2024). Permaculture enhances carbon stocks, soil quality and biodiversity in Central Europe. Commun Earth Environ 5, 305. </w:t>
      </w:r>
      <w:hyperlink r:id="rId27" w:history="1">
        <w:r w:rsidRPr="00484F81">
          <w:rPr>
            <w:rStyle w:val="Hyperlink"/>
            <w:rFonts w:ascii="Times New Roman" w:hAnsi="Times New Roman" w:cs="Times New Roman"/>
            <w:lang w:val="tr"/>
          </w:rPr>
          <w:t>https://doi.org/10.1038/s43247-024-01405-8</w:t>
        </w:r>
      </w:hyperlink>
      <w:r w:rsidRPr="00484F81">
        <w:rPr>
          <w:rFonts w:ascii="Times New Roman" w:hAnsi="Times New Roman" w:cs="Times New Roman"/>
          <w:color w:val="000000" w:themeColor="text1"/>
          <w:lang w:val="tr"/>
        </w:rPr>
        <w:t xml:space="preserve">. </w:t>
      </w:r>
    </w:p>
    <w:p w14:paraId="5911988C" w14:textId="5672D5D4" w:rsidR="003F1C18" w:rsidRPr="00484F81" w:rsidRDefault="003F1C18" w:rsidP="003B4948">
      <w:pPr>
        <w:pStyle w:val="ListParagraph"/>
        <w:numPr>
          <w:ilvl w:val="0"/>
          <w:numId w:val="1"/>
        </w:numPr>
        <w:ind w:left="426" w:hanging="426"/>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lang w:val="pl-PL"/>
        </w:rPr>
        <w:t xml:space="preserve">Bednarek, R., Skiba, S. (2015). Czynniki i procesy glebotwórcze. </w:t>
      </w:r>
      <w:r w:rsidRPr="00484F81">
        <w:rPr>
          <w:rFonts w:ascii="Times New Roman" w:hAnsi="Times New Roman" w:cs="Times New Roman"/>
          <w:color w:val="000000" w:themeColor="text1"/>
          <w:lang w:val="tr"/>
        </w:rPr>
        <w:t>Chapt 3 in: Mocek A. (Ed). Gleboznawstwo. PWN, Warszawa, Poland.</w:t>
      </w:r>
    </w:p>
    <w:p w14:paraId="13161791" w14:textId="77777777" w:rsidR="002A67F8" w:rsidRPr="00484F81" w:rsidRDefault="00AF434D" w:rsidP="00AE11B5">
      <w:pPr>
        <w:pStyle w:val="ListParagraph"/>
        <w:numPr>
          <w:ilvl w:val="0"/>
          <w:numId w:val="1"/>
        </w:numPr>
        <w:ind w:left="426" w:hanging="426"/>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lang w:val="tr"/>
        </w:rPr>
        <w:t>W.E.H. Blum, W.E.H., Schad, P., Nortcliff, S. (2018). Essentials of soil science. Borntraeger Science Publishers, Stuttgart.</w:t>
      </w:r>
    </w:p>
    <w:p w14:paraId="5192CDF2" w14:textId="10D24064" w:rsidR="00AE11B5" w:rsidRPr="00484F81" w:rsidRDefault="00AE11B5" w:rsidP="00AE11B5">
      <w:pPr>
        <w:pStyle w:val="ListParagraph"/>
        <w:numPr>
          <w:ilvl w:val="0"/>
          <w:numId w:val="1"/>
        </w:numPr>
        <w:ind w:left="426" w:hanging="426"/>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lang w:val="pl-PL"/>
        </w:rPr>
        <w:t xml:space="preserve">Kocira, A., Staniak, M., Tomaszewska, M., Kornas, R., Cymerman, J., Panasiewicz, K., &amp; Lipińska, H. (2020). </w:t>
      </w:r>
      <w:r w:rsidRPr="00484F81">
        <w:rPr>
          <w:rFonts w:ascii="Times New Roman" w:hAnsi="Times New Roman" w:cs="Times New Roman"/>
          <w:color w:val="000000" w:themeColor="text1"/>
          <w:lang w:val="tr"/>
        </w:rPr>
        <w:t>Legume Cover Crops as One of the Elements of Strategic Weed Management and Soil Quality Improvement. A Review. Agriculture. DOI:</w:t>
      </w:r>
      <w:r w:rsidRPr="00484F81">
        <w:rPr>
          <w:lang w:val="tr"/>
        </w:rPr>
        <w:t xml:space="preserve"> </w:t>
      </w:r>
      <w:hyperlink r:id="rId28" w:history="1">
        <w:r w:rsidRPr="00484F81">
          <w:rPr>
            <w:rStyle w:val="Hyperlink"/>
            <w:rFonts w:ascii="Times New Roman" w:hAnsi="Times New Roman" w:cs="Times New Roman"/>
            <w:lang w:val="tr"/>
          </w:rPr>
          <w:t>https://doi.org/10.3390/agriculture10090394</w:t>
        </w:r>
      </w:hyperlink>
      <w:r w:rsidRPr="00484F81">
        <w:rPr>
          <w:rFonts w:ascii="Times New Roman" w:hAnsi="Times New Roman" w:cs="Times New Roman"/>
          <w:color w:val="000000" w:themeColor="text1"/>
          <w:lang w:val="tr"/>
        </w:rPr>
        <w:t>.</w:t>
      </w:r>
    </w:p>
    <w:p w14:paraId="07F3A691" w14:textId="0E81F9B7" w:rsidR="00AE11B5" w:rsidRPr="00484F81" w:rsidRDefault="00AE11B5" w:rsidP="00AE11B5">
      <w:pPr>
        <w:pStyle w:val="ListParagraph"/>
        <w:numPr>
          <w:ilvl w:val="0"/>
          <w:numId w:val="1"/>
        </w:numPr>
        <w:ind w:left="426" w:hanging="426"/>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lang w:val="tr"/>
        </w:rPr>
        <w:t xml:space="preserve">Sharma, P., Singh, A., Kahlon, C.S., Brar, A.S., Grover, K., Dia, M., &amp; Steiner, R.L. (2018). The Role of Cover Crops towards Sustainable Soil Health and Agriculture—A Review Paper. American Journal of Plant Sciences, 09, 1935-1951. DOI: </w:t>
      </w:r>
      <w:hyperlink r:id="rId29" w:history="1">
        <w:r w:rsidRPr="00484F81">
          <w:rPr>
            <w:rStyle w:val="Hyperlink"/>
            <w:rFonts w:ascii="Times New Roman" w:hAnsi="Times New Roman" w:cs="Times New Roman"/>
            <w:lang w:val="tr"/>
          </w:rPr>
          <w:t>https://doi.org/10.4236/AJPS.2018.99140</w:t>
        </w:r>
      </w:hyperlink>
      <w:r w:rsidRPr="00484F81">
        <w:rPr>
          <w:rFonts w:ascii="Times New Roman" w:hAnsi="Times New Roman" w:cs="Times New Roman"/>
          <w:color w:val="000000" w:themeColor="text1"/>
          <w:lang w:val="tr"/>
        </w:rPr>
        <w:t>.</w:t>
      </w:r>
    </w:p>
    <w:p w14:paraId="2949C080" w14:textId="77777777" w:rsidR="00B54C32" w:rsidRPr="00484F81" w:rsidRDefault="00B54C32" w:rsidP="00AE11B5">
      <w:pPr>
        <w:pStyle w:val="ListParagraph"/>
        <w:numPr>
          <w:ilvl w:val="0"/>
          <w:numId w:val="1"/>
        </w:numPr>
        <w:ind w:left="426" w:hanging="426"/>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lang w:val="tr"/>
        </w:rPr>
        <w:t>Molles, M. C. (2016). Ecology: concepts and applications. Seventh edition. New York, NY, McGraw-Hill Education.</w:t>
      </w:r>
    </w:p>
    <w:p w14:paraId="0D6AAE58" w14:textId="77777777" w:rsidR="00A561D2" w:rsidRPr="00484F81" w:rsidRDefault="00A561D2" w:rsidP="00AE11B5">
      <w:pPr>
        <w:pStyle w:val="ListParagraph"/>
        <w:numPr>
          <w:ilvl w:val="0"/>
          <w:numId w:val="1"/>
        </w:numPr>
        <w:ind w:left="426" w:hanging="426"/>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lang w:val="tr"/>
        </w:rPr>
        <w:t>Cunningham, W.P., and Cunningham</w:t>
      </w:r>
      <w:r w:rsidR="00B54C32" w:rsidRPr="00484F81">
        <w:rPr>
          <w:rFonts w:ascii="Times New Roman" w:hAnsi="Times New Roman" w:cs="Times New Roman"/>
          <w:color w:val="000000" w:themeColor="text1"/>
          <w:lang w:val="tr"/>
        </w:rPr>
        <w:t>, M.A. (2002).</w:t>
      </w:r>
      <w:r w:rsidRPr="00484F81">
        <w:rPr>
          <w:rFonts w:ascii="Times New Roman" w:hAnsi="Times New Roman" w:cs="Times New Roman"/>
          <w:color w:val="000000" w:themeColor="text1"/>
          <w:lang w:val="tr"/>
        </w:rPr>
        <w:t xml:space="preserve"> Principles of Environmental Science: Inquiry and Applications. McGraw-Hill.</w:t>
      </w:r>
    </w:p>
    <w:p w14:paraId="50AF1027" w14:textId="0CA233CB" w:rsidR="00B54C32" w:rsidRPr="00484F81" w:rsidRDefault="00B54C32" w:rsidP="00AE11B5">
      <w:pPr>
        <w:pStyle w:val="ListParagraph"/>
        <w:numPr>
          <w:ilvl w:val="0"/>
          <w:numId w:val="1"/>
        </w:numPr>
        <w:ind w:left="426" w:hanging="426"/>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lang w:val="tr"/>
        </w:rPr>
        <w:t>Diekmann, M., Andres, C., Becker, T., Bennie, J.J., Blüml, V., Bullock, J.M., Culmsee, H., Fanigliulo, M., Hahn, A., Heinken, T., Leuschner, C., Luka, S., Meissner, J., Müller, J., Newton, A.C., Peppler‐Lisbach, C., Rosenthal, G., van den Berg, L.J., Vergeer, P., &amp; Wesche, K. (2019). Patterns of long‐term vegetation change vary between different types of semi‐</w:t>
      </w:r>
      <w:r w:rsidRPr="00484F81">
        <w:rPr>
          <w:rFonts w:ascii="Times New Roman" w:hAnsi="Times New Roman" w:cs="Times New Roman"/>
          <w:color w:val="000000" w:themeColor="text1"/>
          <w:lang w:val="tr"/>
        </w:rPr>
        <w:lastRenderedPageBreak/>
        <w:t>natural grasslands in Western and Central Europe. Journal of Vegetation Science, 30, 187–202.</w:t>
      </w:r>
      <w:r w:rsidR="0000122B" w:rsidRPr="00484F81">
        <w:rPr>
          <w:rFonts w:ascii="Times New Roman" w:hAnsi="Times New Roman" w:cs="Times New Roman"/>
          <w:color w:val="000000" w:themeColor="text1"/>
          <w:lang w:val="tr"/>
        </w:rPr>
        <w:t xml:space="preserve"> DOI:</w:t>
      </w:r>
      <w:r w:rsidR="0000122B" w:rsidRPr="00484F81">
        <w:rPr>
          <w:rFonts w:ascii="Times New Roman" w:hAnsi="Times New Roman" w:cs="Times New Roman"/>
          <w:lang w:val="tr"/>
        </w:rPr>
        <w:t xml:space="preserve"> </w:t>
      </w:r>
      <w:hyperlink r:id="rId30" w:history="1">
        <w:r w:rsidR="0000122B" w:rsidRPr="00484F81">
          <w:rPr>
            <w:rStyle w:val="Hyperlink"/>
            <w:rFonts w:ascii="Times New Roman" w:hAnsi="Times New Roman" w:cs="Times New Roman"/>
            <w:lang w:val="tr"/>
          </w:rPr>
          <w:t>https://doi.org/10.1111/jvs.12727</w:t>
        </w:r>
      </w:hyperlink>
      <w:r w:rsidR="0000122B" w:rsidRPr="00484F81">
        <w:rPr>
          <w:rFonts w:ascii="Times New Roman" w:hAnsi="Times New Roman" w:cs="Times New Roman"/>
          <w:color w:val="000000" w:themeColor="text1"/>
          <w:lang w:val="tr"/>
        </w:rPr>
        <w:t>.</w:t>
      </w:r>
    </w:p>
    <w:p w14:paraId="670B8C1F" w14:textId="45A9A240" w:rsidR="0000122B" w:rsidRPr="00484F81" w:rsidRDefault="0000122B" w:rsidP="00AE11B5">
      <w:pPr>
        <w:pStyle w:val="ListParagraph"/>
        <w:numPr>
          <w:ilvl w:val="0"/>
          <w:numId w:val="1"/>
        </w:numPr>
        <w:ind w:left="426" w:hanging="426"/>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lang w:val="tr"/>
        </w:rPr>
        <w:t xml:space="preserve">Medina-Álvarez, E., and Sánchez-Medina, P.S. (2023). Types of organizational culture and sustainability in ecotourism businesses in southern Mexico. Journal of Economics, Finance and Administrative Science. DOI: </w:t>
      </w:r>
      <w:hyperlink r:id="rId31" w:history="1">
        <w:r w:rsidRPr="00484F81">
          <w:rPr>
            <w:rStyle w:val="Hyperlink"/>
            <w:rFonts w:ascii="Times New Roman" w:hAnsi="Times New Roman" w:cs="Times New Roman"/>
            <w:lang w:val="tr"/>
          </w:rPr>
          <w:t>https://doi.org/10.1108/jefas-12-2021-0267</w:t>
        </w:r>
      </w:hyperlink>
      <w:r w:rsidRPr="00484F81">
        <w:rPr>
          <w:rFonts w:ascii="Times New Roman" w:hAnsi="Times New Roman" w:cs="Times New Roman"/>
          <w:color w:val="000000" w:themeColor="text1"/>
          <w:lang w:val="tr"/>
        </w:rPr>
        <w:t>.</w:t>
      </w:r>
    </w:p>
    <w:p w14:paraId="410B66F1" w14:textId="17C2513C" w:rsidR="00D33ED2" w:rsidRPr="00484F81" w:rsidRDefault="00D33ED2" w:rsidP="00AE11B5">
      <w:pPr>
        <w:pStyle w:val="ListParagraph"/>
        <w:numPr>
          <w:ilvl w:val="0"/>
          <w:numId w:val="1"/>
        </w:numPr>
        <w:ind w:left="426" w:hanging="426"/>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lang w:val="tr"/>
        </w:rPr>
        <w:t xml:space="preserve">Johnson, K.L., Stone, W., Dominelli, L., Chivasa, S., Clarke, C.E., Gwandu, T., &amp; Appleby, J. (2023). Boosting soil literacy in schools can help improve understanding of soil/human health linkages in Generation Z. Frontiers in Environmental Science, vol. 10, 1-12. DOI: </w:t>
      </w:r>
      <w:hyperlink r:id="rId32" w:history="1">
        <w:r w:rsidRPr="00484F81">
          <w:rPr>
            <w:rStyle w:val="Hyperlink"/>
            <w:rFonts w:ascii="Times New Roman" w:hAnsi="Times New Roman" w:cs="Times New Roman"/>
            <w:lang w:val="tr"/>
          </w:rPr>
          <w:t>https://doi.org/10.3389/fenvs.2022.1028839</w:t>
        </w:r>
      </w:hyperlink>
      <w:r w:rsidRPr="00484F81">
        <w:rPr>
          <w:rFonts w:ascii="Times New Roman" w:hAnsi="Times New Roman" w:cs="Times New Roman"/>
          <w:color w:val="000000" w:themeColor="text1"/>
          <w:lang w:val="tr"/>
        </w:rPr>
        <w:t>.</w:t>
      </w:r>
    </w:p>
    <w:p w14:paraId="6D78F1AE" w14:textId="77777777" w:rsidR="00CB0D6C" w:rsidRPr="00484F81" w:rsidRDefault="00CB0D6C" w:rsidP="00AE11B5">
      <w:pPr>
        <w:pStyle w:val="ListParagraph"/>
        <w:numPr>
          <w:ilvl w:val="0"/>
          <w:numId w:val="1"/>
        </w:numPr>
        <w:ind w:left="426" w:hanging="426"/>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lang w:val="tr"/>
        </w:rPr>
        <w:t xml:space="preserve">Levy, R. (2023). Home–school communication: what we have learned from the pandemic. Education 3-13, 52(1), 21–32. </w:t>
      </w:r>
      <w:hyperlink r:id="rId33" w:history="1">
        <w:r w:rsidR="006F7FFC" w:rsidRPr="00484F81">
          <w:rPr>
            <w:rStyle w:val="Hyperlink"/>
            <w:rFonts w:ascii="Times New Roman" w:hAnsi="Times New Roman" w:cs="Times New Roman"/>
            <w:lang w:val="tr"/>
          </w:rPr>
          <w:t>https://doi.org/10.1080/03004279.2023.2186972</w:t>
        </w:r>
      </w:hyperlink>
    </w:p>
    <w:p w14:paraId="53DCA103" w14:textId="3172D9E0" w:rsidR="006F7FFC" w:rsidRPr="00484F81" w:rsidRDefault="006F7FFC" w:rsidP="00AE11B5">
      <w:pPr>
        <w:pStyle w:val="ListParagraph"/>
        <w:numPr>
          <w:ilvl w:val="0"/>
          <w:numId w:val="1"/>
        </w:numPr>
        <w:ind w:left="426" w:hanging="426"/>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lang w:val="tr"/>
        </w:rPr>
        <w:t>Social and Behaviour Change Communication</w:t>
      </w:r>
      <w:r w:rsidR="002841B1" w:rsidRPr="00484F81">
        <w:rPr>
          <w:rFonts w:ascii="Times New Roman" w:hAnsi="Times New Roman" w:cs="Times New Roman"/>
          <w:color w:val="000000" w:themeColor="text1"/>
          <w:lang w:val="tr"/>
        </w:rPr>
        <w:t xml:space="preserve"> (UNICEF). Designing holistic and data-driven communications to enable change. </w:t>
      </w:r>
      <w:hyperlink r:id="rId34" w:history="1">
        <w:r w:rsidR="002841B1" w:rsidRPr="00484F81">
          <w:rPr>
            <w:rStyle w:val="Hyperlink"/>
            <w:rFonts w:ascii="Times New Roman" w:hAnsi="Times New Roman" w:cs="Times New Roman"/>
            <w:lang w:val="tr"/>
          </w:rPr>
          <w:t>https://www.sbcguidance.org/understand/social-and-behaviour-change-communication</w:t>
        </w:r>
      </w:hyperlink>
      <w:r w:rsidR="002841B1" w:rsidRPr="00484F81">
        <w:rPr>
          <w:rFonts w:ascii="Times New Roman" w:hAnsi="Times New Roman" w:cs="Times New Roman"/>
          <w:color w:val="000000" w:themeColor="text1"/>
          <w:lang w:val="tr"/>
        </w:rPr>
        <w:t xml:space="preserve"> (Acce</w:t>
      </w:r>
      <w:r w:rsidR="0000609E" w:rsidRPr="00484F81">
        <w:rPr>
          <w:rFonts w:ascii="Times New Roman" w:hAnsi="Times New Roman" w:cs="Times New Roman"/>
          <w:color w:val="000000" w:themeColor="text1"/>
          <w:lang w:val="tr"/>
        </w:rPr>
        <w:t>s</w:t>
      </w:r>
      <w:r w:rsidR="002841B1" w:rsidRPr="00484F81">
        <w:rPr>
          <w:rFonts w:ascii="Times New Roman" w:hAnsi="Times New Roman" w:cs="Times New Roman"/>
          <w:color w:val="000000" w:themeColor="text1"/>
          <w:lang w:val="tr"/>
        </w:rPr>
        <w:t>sed: 23.10.2024)</w:t>
      </w:r>
    </w:p>
    <w:p w14:paraId="5219D338" w14:textId="7C3FC629" w:rsidR="002841B1" w:rsidRPr="00484F81" w:rsidRDefault="002841B1" w:rsidP="00AE11B5">
      <w:pPr>
        <w:pStyle w:val="ListParagraph"/>
        <w:numPr>
          <w:ilvl w:val="0"/>
          <w:numId w:val="1"/>
        </w:numPr>
        <w:ind w:left="426" w:hanging="426"/>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lang w:val="tr"/>
        </w:rPr>
        <w:t>Crawfoord, J. (2021).</w:t>
      </w:r>
      <w:r w:rsidRPr="00484F81">
        <w:rPr>
          <w:rFonts w:ascii="Times New Roman" w:hAnsi="Times New Roman" w:cs="Times New Roman"/>
          <w:lang w:val="tr"/>
        </w:rPr>
        <w:t xml:space="preserve"> </w:t>
      </w:r>
      <w:r w:rsidR="00AD37EC" w:rsidRPr="00484F81">
        <w:rPr>
          <w:rFonts w:ascii="Times New Roman" w:hAnsi="Times New Roman" w:cs="Times New Roman"/>
          <w:lang w:val="tr"/>
        </w:rPr>
        <w:t>1</w:t>
      </w:r>
      <w:r w:rsidRPr="00484F81">
        <w:rPr>
          <w:rFonts w:ascii="Times New Roman" w:hAnsi="Times New Roman" w:cs="Times New Roman"/>
          <w:color w:val="000000" w:themeColor="text1"/>
          <w:lang w:val="tr"/>
        </w:rPr>
        <w:t xml:space="preserve">0 </w:t>
      </w:r>
      <w:r w:rsidR="0000609E" w:rsidRPr="00484F81">
        <w:rPr>
          <w:rFonts w:ascii="Times New Roman" w:hAnsi="Times New Roman" w:cs="Times New Roman"/>
          <w:color w:val="000000" w:themeColor="text1"/>
          <w:lang w:val="tr"/>
        </w:rPr>
        <w:t>new</w:t>
      </w:r>
      <w:r w:rsidRPr="00484F81">
        <w:rPr>
          <w:rFonts w:ascii="Times New Roman" w:hAnsi="Times New Roman" w:cs="Times New Roman"/>
          <w:color w:val="000000" w:themeColor="text1"/>
          <w:lang w:val="tr"/>
        </w:rPr>
        <w:t xml:space="preserve"> </w:t>
      </w:r>
      <w:r w:rsidR="00AD37EC" w:rsidRPr="00484F81">
        <w:rPr>
          <w:rFonts w:ascii="Times New Roman" w:hAnsi="Times New Roman" w:cs="Times New Roman"/>
          <w:color w:val="000000" w:themeColor="text1"/>
          <w:lang w:val="tr"/>
        </w:rPr>
        <w:t>w</w:t>
      </w:r>
      <w:r w:rsidRPr="00484F81">
        <w:rPr>
          <w:rFonts w:ascii="Times New Roman" w:hAnsi="Times New Roman" w:cs="Times New Roman"/>
          <w:color w:val="000000" w:themeColor="text1"/>
          <w:lang w:val="tr"/>
        </w:rPr>
        <w:t xml:space="preserve">ays to </w:t>
      </w:r>
      <w:r w:rsidR="00AD37EC" w:rsidRPr="00484F81">
        <w:rPr>
          <w:rFonts w:ascii="Times New Roman" w:hAnsi="Times New Roman" w:cs="Times New Roman"/>
          <w:color w:val="000000" w:themeColor="text1"/>
          <w:lang w:val="tr"/>
        </w:rPr>
        <w:t>c</w:t>
      </w:r>
      <w:r w:rsidRPr="00484F81">
        <w:rPr>
          <w:rFonts w:ascii="Times New Roman" w:hAnsi="Times New Roman" w:cs="Times New Roman"/>
          <w:color w:val="000000" w:themeColor="text1"/>
          <w:lang w:val="tr"/>
        </w:rPr>
        <w:t xml:space="preserve">ommunicate in </w:t>
      </w:r>
      <w:r w:rsidR="00AD37EC" w:rsidRPr="00484F81">
        <w:rPr>
          <w:rFonts w:ascii="Times New Roman" w:hAnsi="Times New Roman" w:cs="Times New Roman"/>
          <w:color w:val="000000" w:themeColor="text1"/>
          <w:lang w:val="tr"/>
        </w:rPr>
        <w:t>t</w:t>
      </w:r>
      <w:r w:rsidRPr="00484F81">
        <w:rPr>
          <w:rFonts w:ascii="Times New Roman" w:hAnsi="Times New Roman" w:cs="Times New Roman"/>
          <w:color w:val="000000" w:themeColor="text1"/>
          <w:lang w:val="tr"/>
        </w:rPr>
        <w:t xml:space="preserve">he </w:t>
      </w:r>
      <w:r w:rsidR="00AD37EC" w:rsidRPr="00484F81">
        <w:rPr>
          <w:rFonts w:ascii="Times New Roman" w:hAnsi="Times New Roman" w:cs="Times New Roman"/>
          <w:color w:val="000000" w:themeColor="text1"/>
          <w:lang w:val="tr"/>
        </w:rPr>
        <w:t>a</w:t>
      </w:r>
      <w:r w:rsidRPr="00484F81">
        <w:rPr>
          <w:rFonts w:ascii="Times New Roman" w:hAnsi="Times New Roman" w:cs="Times New Roman"/>
          <w:color w:val="000000" w:themeColor="text1"/>
          <w:lang w:val="tr"/>
        </w:rPr>
        <w:t xml:space="preserve">ge </w:t>
      </w:r>
      <w:r w:rsidR="00AD37EC" w:rsidRPr="00484F81">
        <w:rPr>
          <w:rFonts w:ascii="Times New Roman" w:hAnsi="Times New Roman" w:cs="Times New Roman"/>
          <w:color w:val="000000" w:themeColor="text1"/>
          <w:lang w:val="tr"/>
        </w:rPr>
        <w:t>o</w:t>
      </w:r>
      <w:r w:rsidRPr="00484F81">
        <w:rPr>
          <w:rFonts w:ascii="Times New Roman" w:hAnsi="Times New Roman" w:cs="Times New Roman"/>
          <w:color w:val="000000" w:themeColor="text1"/>
          <w:lang w:val="tr"/>
        </w:rPr>
        <w:t xml:space="preserve">f </w:t>
      </w:r>
      <w:r w:rsidR="00AD37EC" w:rsidRPr="00484F81">
        <w:rPr>
          <w:rFonts w:ascii="Times New Roman" w:hAnsi="Times New Roman" w:cs="Times New Roman"/>
          <w:color w:val="000000" w:themeColor="text1"/>
          <w:lang w:val="tr"/>
        </w:rPr>
        <w:t>d</w:t>
      </w:r>
      <w:r w:rsidRPr="00484F81">
        <w:rPr>
          <w:rFonts w:ascii="Times New Roman" w:hAnsi="Times New Roman" w:cs="Times New Roman"/>
          <w:color w:val="000000" w:themeColor="text1"/>
          <w:lang w:val="tr"/>
        </w:rPr>
        <w:t xml:space="preserve">igital </w:t>
      </w:r>
      <w:r w:rsidR="00AD37EC" w:rsidRPr="00484F81">
        <w:rPr>
          <w:rFonts w:ascii="Times New Roman" w:hAnsi="Times New Roman" w:cs="Times New Roman"/>
          <w:color w:val="000000" w:themeColor="text1"/>
          <w:lang w:val="tr"/>
        </w:rPr>
        <w:t>t</w:t>
      </w:r>
      <w:r w:rsidRPr="00484F81">
        <w:rPr>
          <w:rFonts w:ascii="Times New Roman" w:hAnsi="Times New Roman" w:cs="Times New Roman"/>
          <w:color w:val="000000" w:themeColor="text1"/>
          <w:lang w:val="tr"/>
        </w:rPr>
        <w:t xml:space="preserve">echnology. </w:t>
      </w:r>
      <w:hyperlink r:id="rId35" w:history="1">
        <w:r w:rsidRPr="00484F81">
          <w:rPr>
            <w:rStyle w:val="Hyperlink"/>
            <w:rFonts w:ascii="Times New Roman" w:hAnsi="Times New Roman" w:cs="Times New Roman"/>
            <w:lang w:val="tr"/>
          </w:rPr>
          <w:t>https://techresearchonline.com/blog/10-new-ways-to-communicate-digitally-age-of-digital-technology/</w:t>
        </w:r>
      </w:hyperlink>
      <w:r w:rsidRPr="00484F81">
        <w:rPr>
          <w:rFonts w:ascii="Times New Roman" w:hAnsi="Times New Roman" w:cs="Times New Roman"/>
          <w:color w:val="000000" w:themeColor="text1"/>
          <w:lang w:val="tr"/>
        </w:rPr>
        <w:t xml:space="preserve"> (</w:t>
      </w:r>
      <w:bookmarkStart w:id="4" w:name="_Hlk180708377"/>
      <w:r w:rsidRPr="00484F81">
        <w:rPr>
          <w:rFonts w:ascii="Times New Roman" w:hAnsi="Times New Roman" w:cs="Times New Roman"/>
          <w:color w:val="000000" w:themeColor="text1"/>
          <w:lang w:val="tr"/>
        </w:rPr>
        <w:t>Acces</w:t>
      </w:r>
      <w:r w:rsidR="0000609E" w:rsidRPr="00484F81">
        <w:rPr>
          <w:rFonts w:ascii="Times New Roman" w:hAnsi="Times New Roman" w:cs="Times New Roman"/>
          <w:color w:val="000000" w:themeColor="text1"/>
          <w:lang w:val="tr"/>
        </w:rPr>
        <w:t>s</w:t>
      </w:r>
      <w:r w:rsidRPr="00484F81">
        <w:rPr>
          <w:rFonts w:ascii="Times New Roman" w:hAnsi="Times New Roman" w:cs="Times New Roman"/>
          <w:color w:val="000000" w:themeColor="text1"/>
          <w:lang w:val="tr"/>
        </w:rPr>
        <w:t>ed: 23.10.2024</w:t>
      </w:r>
      <w:bookmarkEnd w:id="4"/>
      <w:r w:rsidRPr="00484F81">
        <w:rPr>
          <w:rFonts w:ascii="Times New Roman" w:hAnsi="Times New Roman" w:cs="Times New Roman"/>
          <w:color w:val="000000" w:themeColor="text1"/>
          <w:lang w:val="tr"/>
        </w:rPr>
        <w:t>)</w:t>
      </w:r>
      <w:r w:rsidR="000666CF" w:rsidRPr="00484F81">
        <w:rPr>
          <w:rFonts w:ascii="Times New Roman" w:hAnsi="Times New Roman" w:cs="Times New Roman"/>
          <w:color w:val="000000" w:themeColor="text1"/>
          <w:lang w:val="tr"/>
        </w:rPr>
        <w:t>.</w:t>
      </w:r>
    </w:p>
    <w:p w14:paraId="43C8F119" w14:textId="14B3386D" w:rsidR="00BE5454" w:rsidRPr="00484F81" w:rsidRDefault="00BE5454" w:rsidP="00AE11B5">
      <w:pPr>
        <w:pStyle w:val="ListParagraph"/>
        <w:numPr>
          <w:ilvl w:val="0"/>
          <w:numId w:val="1"/>
        </w:numPr>
        <w:ind w:left="426" w:hanging="426"/>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lang w:val="it-IT"/>
        </w:rPr>
        <w:t xml:space="preserve">Chandler, E., Ignagni, E., &amp; Collins, K. (2021). </w:t>
      </w:r>
      <w:r w:rsidRPr="00484F81">
        <w:rPr>
          <w:rFonts w:ascii="Times New Roman" w:hAnsi="Times New Roman" w:cs="Times New Roman"/>
          <w:color w:val="000000" w:themeColor="text1"/>
          <w:lang w:val="tr"/>
        </w:rPr>
        <w:t>Communicating access, accessing</w:t>
      </w:r>
      <w:r w:rsidR="003036C6" w:rsidRPr="00484F81">
        <w:rPr>
          <w:rFonts w:ascii="Times New Roman" w:hAnsi="Times New Roman" w:cs="Times New Roman"/>
          <w:color w:val="000000" w:themeColor="text1"/>
          <w:lang w:val="tr"/>
        </w:rPr>
        <w:t xml:space="preserve"> </w:t>
      </w:r>
      <w:r w:rsidRPr="00484F81">
        <w:rPr>
          <w:rFonts w:ascii="Times New Roman" w:hAnsi="Times New Roman" w:cs="Times New Roman"/>
          <w:color w:val="000000" w:themeColor="text1"/>
          <w:lang w:val="tr"/>
        </w:rPr>
        <w:t>communication. Studies in Social Justice, 15(2), 230-238.</w:t>
      </w:r>
      <w:r w:rsidRPr="00484F81">
        <w:rPr>
          <w:lang w:val="tr"/>
        </w:rPr>
        <w:t xml:space="preserve"> </w:t>
      </w:r>
      <w:hyperlink r:id="rId36" w:history="1">
        <w:r w:rsidRPr="00484F81">
          <w:rPr>
            <w:rStyle w:val="Hyperlink"/>
            <w:rFonts w:ascii="Times New Roman" w:hAnsi="Times New Roman" w:cs="Times New Roman"/>
            <w:lang w:val="tr"/>
          </w:rPr>
          <w:t>https://doi.org/10.26522/ssj.v15i2.2657</w:t>
        </w:r>
      </w:hyperlink>
      <w:r w:rsidRPr="00484F81">
        <w:rPr>
          <w:rFonts w:ascii="Times New Roman" w:hAnsi="Times New Roman" w:cs="Times New Roman"/>
          <w:color w:val="000000" w:themeColor="text1"/>
          <w:lang w:val="tr"/>
        </w:rPr>
        <w:t>.</w:t>
      </w:r>
    </w:p>
    <w:p w14:paraId="0ED61930" w14:textId="3A8867F8" w:rsidR="00392C41" w:rsidRPr="00484F81" w:rsidRDefault="00392C41" w:rsidP="00392C41">
      <w:pPr>
        <w:pStyle w:val="ListParagraph"/>
        <w:numPr>
          <w:ilvl w:val="0"/>
          <w:numId w:val="1"/>
        </w:numPr>
        <w:ind w:left="426" w:hanging="426"/>
        <w:jc w:val="both"/>
        <w:rPr>
          <w:rFonts w:ascii="Times New Roman" w:hAnsi="Times New Roman" w:cs="Times New Roman"/>
          <w:color w:val="000000" w:themeColor="text1"/>
          <w:lang w:val="en-GB"/>
        </w:rPr>
      </w:pPr>
      <w:hyperlink r:id="rId37" w:history="1">
        <w:r w:rsidRPr="00484F81">
          <w:rPr>
            <w:rStyle w:val="Hyperlink"/>
            <w:rFonts w:ascii="Times New Roman" w:hAnsi="Times New Roman" w:cs="Times New Roman"/>
            <w:lang w:val="tr"/>
          </w:rPr>
          <w:t>https://www.oed.com/search/dictionary</w:t>
        </w:r>
      </w:hyperlink>
    </w:p>
    <w:p w14:paraId="4690F664" w14:textId="77777777" w:rsidR="00392C41" w:rsidRPr="00484F81" w:rsidRDefault="00392C41" w:rsidP="00392C41">
      <w:pPr>
        <w:pStyle w:val="ListParagraph"/>
        <w:numPr>
          <w:ilvl w:val="0"/>
          <w:numId w:val="1"/>
        </w:numPr>
        <w:ind w:left="426" w:hanging="426"/>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lang w:val="tr"/>
        </w:rPr>
        <w:t>Trevithick, PA. (2000). Social Work Skills: A Practice Handbook. Open University Press.</w:t>
      </w:r>
    </w:p>
    <w:p w14:paraId="42493DC2" w14:textId="5F2A7E35" w:rsidR="000666CF" w:rsidRPr="00484F81" w:rsidRDefault="000666CF" w:rsidP="00392C41">
      <w:pPr>
        <w:pStyle w:val="ListParagraph"/>
        <w:numPr>
          <w:ilvl w:val="0"/>
          <w:numId w:val="1"/>
        </w:numPr>
        <w:ind w:left="426" w:hanging="426"/>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lang w:val="tr"/>
        </w:rPr>
        <w:t>World Health Organisation (2011). World Report on Disability 2011.</w:t>
      </w:r>
      <w:r w:rsidRPr="00484F81">
        <w:rPr>
          <w:lang w:val="tr"/>
        </w:rPr>
        <w:t xml:space="preserve"> </w:t>
      </w:r>
      <w:hyperlink r:id="rId38" w:history="1">
        <w:r w:rsidRPr="00484F81">
          <w:rPr>
            <w:rStyle w:val="Hyperlink"/>
            <w:rFonts w:ascii="Times New Roman" w:hAnsi="Times New Roman" w:cs="Times New Roman"/>
          </w:rPr>
          <w:t>https://www.who.int/teams/noncommunicable-diseases/sensory-functions-disability-and-rehabilitation/world-report-on-disability</w:t>
        </w:r>
      </w:hyperlink>
      <w:r w:rsidRPr="00484F81">
        <w:rPr>
          <w:rFonts w:ascii="Times New Roman" w:hAnsi="Times New Roman" w:cs="Times New Roman"/>
          <w:color w:val="000000" w:themeColor="text1"/>
        </w:rPr>
        <w:t xml:space="preserve">. </w:t>
      </w:r>
      <w:r w:rsidRPr="00484F81">
        <w:rPr>
          <w:rFonts w:ascii="Times New Roman" w:hAnsi="Times New Roman" w:cs="Times New Roman"/>
          <w:color w:val="000000" w:themeColor="text1"/>
          <w:lang w:val="tr"/>
        </w:rPr>
        <w:t>(Acce</w:t>
      </w:r>
      <w:r w:rsidR="0000609E" w:rsidRPr="00484F81">
        <w:rPr>
          <w:rFonts w:ascii="Times New Roman" w:hAnsi="Times New Roman" w:cs="Times New Roman"/>
          <w:color w:val="000000" w:themeColor="text1"/>
          <w:lang w:val="tr"/>
        </w:rPr>
        <w:t>s</w:t>
      </w:r>
      <w:r w:rsidRPr="00484F81">
        <w:rPr>
          <w:rFonts w:ascii="Times New Roman" w:hAnsi="Times New Roman" w:cs="Times New Roman"/>
          <w:color w:val="000000" w:themeColor="text1"/>
          <w:lang w:val="tr"/>
        </w:rPr>
        <w:t>sed: 23.10.2024).</w:t>
      </w:r>
    </w:p>
    <w:p w14:paraId="39E51A01" w14:textId="1E1D253E" w:rsidR="00B6198C" w:rsidRPr="00484F81" w:rsidRDefault="00B6198C" w:rsidP="00AE2113">
      <w:pPr>
        <w:pStyle w:val="ListParagraph"/>
        <w:numPr>
          <w:ilvl w:val="0"/>
          <w:numId w:val="1"/>
        </w:numPr>
        <w:ind w:left="426" w:hanging="426"/>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lang w:val="tr"/>
        </w:rPr>
        <w:t xml:space="preserve">What is transdisciplinary research, Utrecht University. </w:t>
      </w:r>
      <w:hyperlink r:id="rId39" w:history="1">
        <w:r w:rsidRPr="00484F81">
          <w:rPr>
            <w:rStyle w:val="Hyperlink"/>
            <w:rFonts w:ascii="Times New Roman" w:hAnsi="Times New Roman" w:cs="Times New Roman"/>
            <w:lang w:val="tr"/>
          </w:rPr>
          <w:t>https://www.uu.nl/en/research/transdisciplinary-field-guide/get-started/what-is-transdisciplinary-research</w:t>
        </w:r>
      </w:hyperlink>
      <w:r w:rsidRPr="00484F81">
        <w:rPr>
          <w:rFonts w:ascii="Times New Roman" w:hAnsi="Times New Roman" w:cs="Times New Roman"/>
          <w:color w:val="000000" w:themeColor="text1"/>
          <w:lang w:val="tr"/>
        </w:rPr>
        <w:t xml:space="preserve"> (Acce</w:t>
      </w:r>
      <w:r w:rsidR="0000609E" w:rsidRPr="00484F81">
        <w:rPr>
          <w:rFonts w:ascii="Times New Roman" w:hAnsi="Times New Roman" w:cs="Times New Roman"/>
          <w:color w:val="000000" w:themeColor="text1"/>
          <w:lang w:val="tr"/>
        </w:rPr>
        <w:t>s</w:t>
      </w:r>
      <w:r w:rsidRPr="00484F81">
        <w:rPr>
          <w:rFonts w:ascii="Times New Roman" w:hAnsi="Times New Roman" w:cs="Times New Roman"/>
          <w:color w:val="000000" w:themeColor="text1"/>
          <w:lang w:val="tr"/>
        </w:rPr>
        <w:t>sed: 23.10.2024).</w:t>
      </w:r>
    </w:p>
    <w:p w14:paraId="65A56D86" w14:textId="42BF246C" w:rsidR="00AE2113" w:rsidRPr="00484F81" w:rsidRDefault="003036C6" w:rsidP="00AE2113">
      <w:pPr>
        <w:pStyle w:val="ListParagraph"/>
        <w:numPr>
          <w:ilvl w:val="0"/>
          <w:numId w:val="1"/>
        </w:numPr>
        <w:ind w:left="426" w:hanging="426"/>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lang w:val="tr"/>
        </w:rPr>
        <w:t>Newell, W. H. (2001). A Theory of Interdisciplinary Studies. Issues in Integrative Studies, 19, 1-24.</w:t>
      </w:r>
      <w:r w:rsidRPr="00484F81">
        <w:rPr>
          <w:lang w:val="tr"/>
        </w:rPr>
        <w:t xml:space="preserve"> </w:t>
      </w:r>
      <w:hyperlink r:id="rId40" w:history="1">
        <w:r w:rsidRPr="00484F81">
          <w:rPr>
            <w:rStyle w:val="Hyperlink"/>
            <w:rFonts w:ascii="Times New Roman" w:hAnsi="Times New Roman" w:cs="Times New Roman"/>
            <w:lang w:val="tr"/>
          </w:rPr>
          <w:t>https://web.mit.edu/jrankin/www/interdisciplinary/interdisc_Newell.pdf</w:t>
        </w:r>
      </w:hyperlink>
      <w:r w:rsidRPr="00484F81">
        <w:rPr>
          <w:rFonts w:ascii="Times New Roman" w:hAnsi="Times New Roman" w:cs="Times New Roman"/>
          <w:color w:val="000000" w:themeColor="text1"/>
          <w:lang w:val="tr"/>
        </w:rPr>
        <w:t>.</w:t>
      </w:r>
    </w:p>
    <w:p w14:paraId="531C33A4" w14:textId="1CC3CBA1" w:rsidR="003036C6" w:rsidRPr="00484F81" w:rsidRDefault="00AE2113" w:rsidP="00AE2113">
      <w:pPr>
        <w:pStyle w:val="ListParagraph"/>
        <w:numPr>
          <w:ilvl w:val="0"/>
          <w:numId w:val="1"/>
        </w:numPr>
        <w:ind w:left="426" w:hanging="426"/>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lang w:val="tr"/>
        </w:rPr>
        <w:t>Resh, H.M. and Howard, M. (2012)</w:t>
      </w:r>
      <w:r w:rsidR="00430B8F" w:rsidRPr="00484F81">
        <w:rPr>
          <w:rFonts w:ascii="Times New Roman" w:hAnsi="Times New Roman" w:cs="Times New Roman"/>
          <w:color w:val="000000" w:themeColor="text1"/>
          <w:lang w:val="tr"/>
        </w:rPr>
        <w:t>.</w:t>
      </w:r>
      <w:r w:rsidRPr="00484F81">
        <w:rPr>
          <w:rFonts w:ascii="Times New Roman" w:hAnsi="Times New Roman" w:cs="Times New Roman"/>
          <w:color w:val="000000" w:themeColor="text1"/>
          <w:lang w:val="tr"/>
        </w:rPr>
        <w:t xml:space="preserve"> Hydroponic Food Production: A Definitive Guidebook for the Advanced Home Gardener and the Commercial Hydroponic Grower. CRC Press, Santa Barbara, California.</w:t>
      </w:r>
      <w:r w:rsidR="00430B8F" w:rsidRPr="00484F81">
        <w:rPr>
          <w:rFonts w:ascii="Times New Roman" w:hAnsi="Times New Roman" w:cs="Times New Roman"/>
          <w:color w:val="000000" w:themeColor="text1"/>
          <w:lang w:val="tr"/>
        </w:rPr>
        <w:t xml:space="preserve"> DOI: </w:t>
      </w:r>
      <w:hyperlink r:id="rId41" w:history="1">
        <w:r w:rsidR="00430B8F" w:rsidRPr="00484F81">
          <w:rPr>
            <w:rStyle w:val="Hyperlink"/>
            <w:rFonts w:ascii="Times New Roman" w:hAnsi="Times New Roman" w:cs="Times New Roman"/>
            <w:lang w:val="tr"/>
          </w:rPr>
          <w:t>http://dx.doi.org/10.1201/b12500</w:t>
        </w:r>
      </w:hyperlink>
      <w:r w:rsidR="00430B8F" w:rsidRPr="00484F81">
        <w:rPr>
          <w:rFonts w:ascii="Times New Roman" w:hAnsi="Times New Roman" w:cs="Times New Roman"/>
          <w:color w:val="000000" w:themeColor="text1"/>
          <w:lang w:val="tr"/>
        </w:rPr>
        <w:t>.</w:t>
      </w:r>
    </w:p>
    <w:p w14:paraId="711FCFB3" w14:textId="1DB56EC7" w:rsidR="00BD4C94" w:rsidRPr="00484F81" w:rsidRDefault="00B43EA9" w:rsidP="00BD4C94">
      <w:pPr>
        <w:pStyle w:val="ListParagraph"/>
        <w:numPr>
          <w:ilvl w:val="0"/>
          <w:numId w:val="1"/>
        </w:numPr>
        <w:ind w:left="426" w:hanging="426"/>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lang w:val="tr"/>
        </w:rPr>
        <w:t>Adriano, D. C. (2001). Trace Elements in Terrestrial Environments: Biogeochemistry, Bioavailability, and Risks of Metals. Springer.</w:t>
      </w:r>
    </w:p>
    <w:p w14:paraId="7BF5F264" w14:textId="54678D14" w:rsidR="00DB0D05" w:rsidRPr="00484F81" w:rsidRDefault="00BD4C94" w:rsidP="00BD4C94">
      <w:pPr>
        <w:pStyle w:val="ListParagraph"/>
        <w:numPr>
          <w:ilvl w:val="0"/>
          <w:numId w:val="1"/>
        </w:numPr>
        <w:ind w:left="426" w:hanging="426"/>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lang w:val="tr"/>
        </w:rPr>
        <w:t xml:space="preserve">Gupta, P.K., Goel, M. (2021). Environmental Tracers and Isotopic Techniques: Tools for Sustainable Water Management. In: Adhikary, P.P., Shit, P.K., Santra, P., Bhunia, G.S., Tiwari, A.K., Chaudhary, B.S. (eds) Geostatistics and Geospatial Technologies for Groundwater Resources in India. Springer Hydrogeology. Springer, Cham. </w:t>
      </w:r>
      <w:hyperlink r:id="rId42" w:history="1">
        <w:r w:rsidRPr="00484F81">
          <w:rPr>
            <w:rStyle w:val="Hyperlink"/>
            <w:rFonts w:ascii="Times New Roman" w:hAnsi="Times New Roman" w:cs="Times New Roman"/>
            <w:lang w:val="tr"/>
          </w:rPr>
          <w:t>https://doi.org/10.1007/978-3-030-62397-5_26</w:t>
        </w:r>
      </w:hyperlink>
      <w:r w:rsidRPr="00484F81">
        <w:rPr>
          <w:rFonts w:ascii="Times New Roman" w:hAnsi="Times New Roman" w:cs="Times New Roman"/>
          <w:color w:val="000000" w:themeColor="text1"/>
          <w:lang w:val="tr"/>
        </w:rPr>
        <w:t>.</w:t>
      </w:r>
    </w:p>
    <w:p w14:paraId="66A2EBC2" w14:textId="6CFCFA24" w:rsidR="0039340A" w:rsidRPr="00484F81" w:rsidRDefault="009F6001" w:rsidP="0039340A">
      <w:pPr>
        <w:pStyle w:val="ListParagraph"/>
        <w:numPr>
          <w:ilvl w:val="0"/>
          <w:numId w:val="1"/>
        </w:numPr>
        <w:ind w:left="426" w:hanging="426"/>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lang w:val="tr"/>
        </w:rPr>
        <w:t xml:space="preserve">Scholz, R.W. (2020). Transdisciplinarity: science for and with society in light of the university’s roles and functions. Sustain Sci 15, 1033–1049.DOI: </w:t>
      </w:r>
      <w:hyperlink r:id="rId43" w:history="1">
        <w:r w:rsidRPr="00484F81">
          <w:rPr>
            <w:rStyle w:val="Hyperlink"/>
            <w:rFonts w:ascii="Times New Roman" w:hAnsi="Times New Roman" w:cs="Times New Roman"/>
            <w:lang w:val="tr"/>
          </w:rPr>
          <w:t>https://doi.org/10.1007/s11625-020-00794-x</w:t>
        </w:r>
      </w:hyperlink>
      <w:r w:rsidRPr="00484F81">
        <w:rPr>
          <w:rFonts w:ascii="Times New Roman" w:hAnsi="Times New Roman" w:cs="Times New Roman"/>
          <w:color w:val="000000" w:themeColor="text1"/>
          <w:lang w:val="tr"/>
        </w:rPr>
        <w:t>.</w:t>
      </w:r>
    </w:p>
    <w:p w14:paraId="7A8BC84A" w14:textId="401531A9" w:rsidR="0039340A" w:rsidRPr="00484F81" w:rsidRDefault="0039340A" w:rsidP="0039340A">
      <w:pPr>
        <w:pStyle w:val="ListParagraph"/>
        <w:numPr>
          <w:ilvl w:val="0"/>
          <w:numId w:val="1"/>
        </w:numPr>
        <w:ind w:left="426" w:hanging="426"/>
        <w:jc w:val="both"/>
        <w:rPr>
          <w:rFonts w:ascii="Times New Roman" w:hAnsi="Times New Roman" w:cs="Times New Roman"/>
          <w:color w:val="000000" w:themeColor="text1"/>
          <w:lang w:val="pt-BR"/>
        </w:rPr>
      </w:pPr>
      <w:r w:rsidRPr="00484F81">
        <w:rPr>
          <w:rFonts w:ascii="Times New Roman" w:hAnsi="Times New Roman" w:cs="Times New Roman"/>
          <w:color w:val="000000" w:themeColor="text1"/>
          <w:lang w:val="tr"/>
        </w:rPr>
        <w:t xml:space="preserve">Solomon, G.E., Carley, S., Porter, A.L. (2016) How Multidisciplinary Are the Multidisciplinary Journals Science and Nature? </w:t>
      </w:r>
      <w:r w:rsidRPr="00484F81">
        <w:rPr>
          <w:rFonts w:ascii="Times New Roman" w:hAnsi="Times New Roman" w:cs="Times New Roman"/>
          <w:color w:val="000000" w:themeColor="text1"/>
          <w:lang w:val="pt-BR"/>
        </w:rPr>
        <w:t xml:space="preserve">PLoS One. Apr 4;11(4):e0152637. DOI: </w:t>
      </w:r>
      <w:hyperlink r:id="rId44" w:history="1">
        <w:r w:rsidRPr="00484F81">
          <w:rPr>
            <w:rStyle w:val="Hyperlink"/>
            <w:rFonts w:ascii="Times New Roman" w:hAnsi="Times New Roman" w:cs="Times New Roman"/>
            <w:lang w:val="pt-BR"/>
          </w:rPr>
          <w:t>https://doi.org/10.1371/journal.pone.0152637</w:t>
        </w:r>
      </w:hyperlink>
      <w:r w:rsidRPr="00484F81">
        <w:rPr>
          <w:rFonts w:ascii="Times New Roman" w:hAnsi="Times New Roman" w:cs="Times New Roman"/>
          <w:color w:val="000000" w:themeColor="text1"/>
          <w:lang w:val="pt-BR"/>
        </w:rPr>
        <w:t>.</w:t>
      </w:r>
    </w:p>
    <w:p w14:paraId="3F05DC8B" w14:textId="0E1FED4A" w:rsidR="00A80812" w:rsidRPr="00484F81" w:rsidRDefault="00A80812" w:rsidP="3C5DB29E">
      <w:pPr>
        <w:pStyle w:val="ListParagraph"/>
        <w:numPr>
          <w:ilvl w:val="0"/>
          <w:numId w:val="1"/>
        </w:numPr>
        <w:ind w:left="426" w:hanging="426"/>
        <w:jc w:val="both"/>
        <w:rPr>
          <w:rFonts w:ascii="Times New Roman" w:hAnsi="Times New Roman" w:cs="Times New Roman"/>
          <w:color w:val="000000" w:themeColor="text1"/>
        </w:rPr>
      </w:pPr>
      <w:r w:rsidRPr="00484F81">
        <w:rPr>
          <w:rFonts w:ascii="Times New Roman" w:hAnsi="Times New Roman" w:cs="Times New Roman"/>
          <w:color w:val="545454"/>
          <w:shd w:val="clear" w:color="auto" w:fill="FFFFFF"/>
          <w:lang w:val="tr"/>
        </w:rPr>
        <w:t xml:space="preserve">FAO. </w:t>
      </w:r>
      <w:r w:rsidR="00AC40AC" w:rsidRPr="00484F81">
        <w:rPr>
          <w:rFonts w:ascii="Times New Roman" w:hAnsi="Times New Roman" w:cs="Times New Roman"/>
          <w:color w:val="545454"/>
          <w:shd w:val="clear" w:color="auto" w:fill="FFFFFF"/>
          <w:lang w:val="tr"/>
        </w:rPr>
        <w:t>(</w:t>
      </w:r>
      <w:r w:rsidRPr="00484F81">
        <w:rPr>
          <w:rFonts w:ascii="Times New Roman" w:hAnsi="Times New Roman" w:cs="Times New Roman"/>
          <w:color w:val="545454"/>
          <w:shd w:val="clear" w:color="auto" w:fill="FFFFFF"/>
          <w:lang w:val="tr"/>
        </w:rPr>
        <w:t>2021</w:t>
      </w:r>
      <w:r w:rsidR="00AC40AC" w:rsidRPr="00484F81">
        <w:rPr>
          <w:rFonts w:ascii="Times New Roman" w:hAnsi="Times New Roman" w:cs="Times New Roman"/>
          <w:color w:val="545454"/>
          <w:shd w:val="clear" w:color="auto" w:fill="FFFFFF"/>
          <w:lang w:val="tr"/>
        </w:rPr>
        <w:t>)</w:t>
      </w:r>
      <w:r w:rsidRPr="00484F81">
        <w:rPr>
          <w:rFonts w:ascii="Times New Roman" w:hAnsi="Times New Roman" w:cs="Times New Roman"/>
          <w:color w:val="545454"/>
          <w:shd w:val="clear" w:color="auto" w:fill="FFFFFF"/>
          <w:lang w:val="tr"/>
        </w:rPr>
        <w:t>. </w:t>
      </w:r>
      <w:r w:rsidRPr="00484F81">
        <w:rPr>
          <w:rStyle w:val="Emphasis"/>
          <w:rFonts w:ascii="Times New Roman" w:hAnsi="Times New Roman" w:cs="Times New Roman"/>
          <w:i w:val="0"/>
          <w:iCs w:val="0"/>
          <w:color w:val="545454"/>
          <w:shd w:val="clear" w:color="auto" w:fill="FFFFFF"/>
          <w:lang w:val="tr"/>
        </w:rPr>
        <w:t>The State of Food and Agriculture 2021. Making agrifood systems more resilient to shocks and stresses</w:t>
      </w:r>
      <w:r w:rsidRPr="00484F81">
        <w:rPr>
          <w:rFonts w:ascii="Times New Roman" w:hAnsi="Times New Roman" w:cs="Times New Roman"/>
          <w:color w:val="545454"/>
          <w:shd w:val="clear" w:color="auto" w:fill="FFFFFF"/>
          <w:lang w:val="tr"/>
        </w:rPr>
        <w:t xml:space="preserve">. </w:t>
      </w:r>
      <w:r w:rsidRPr="00484F81">
        <w:rPr>
          <w:rFonts w:ascii="Times New Roman" w:hAnsi="Times New Roman" w:cs="Times New Roman"/>
          <w:color w:val="545454"/>
          <w:shd w:val="clear" w:color="auto" w:fill="FFFFFF"/>
        </w:rPr>
        <w:t>Rome, FAO.</w:t>
      </w:r>
      <w:r w:rsidRPr="00484F81">
        <w:rPr>
          <w:rFonts w:ascii="Times New Roman" w:hAnsi="Times New Roman" w:cs="Times New Roman"/>
        </w:rPr>
        <w:t xml:space="preserve"> </w:t>
      </w:r>
      <w:r w:rsidR="00AC40AC" w:rsidRPr="00484F81">
        <w:rPr>
          <w:rFonts w:ascii="Times New Roman" w:hAnsi="Times New Roman" w:cs="Times New Roman"/>
        </w:rPr>
        <w:t xml:space="preserve">DOI: </w:t>
      </w:r>
      <w:hyperlink r:id="rId45" w:history="1">
        <w:r w:rsidR="00AC40AC" w:rsidRPr="00484F81">
          <w:rPr>
            <w:rStyle w:val="Hyperlink"/>
            <w:rFonts w:ascii="Times New Roman" w:hAnsi="Times New Roman" w:cs="Times New Roman"/>
          </w:rPr>
          <w:t>https://doi.org/10.4060/cb4476en</w:t>
        </w:r>
      </w:hyperlink>
      <w:r w:rsidRPr="00484F81">
        <w:rPr>
          <w:rFonts w:ascii="Times New Roman" w:hAnsi="Times New Roman" w:cs="Times New Roman"/>
          <w:color w:val="545454"/>
          <w:shd w:val="clear" w:color="auto" w:fill="FFFFFF"/>
        </w:rPr>
        <w:t>.</w:t>
      </w:r>
    </w:p>
    <w:p w14:paraId="26DF7967" w14:textId="6B043898" w:rsidR="00A80812" w:rsidRPr="00484F81" w:rsidRDefault="00AC40AC" w:rsidP="0039340A">
      <w:pPr>
        <w:pStyle w:val="ListParagraph"/>
        <w:numPr>
          <w:ilvl w:val="0"/>
          <w:numId w:val="1"/>
        </w:numPr>
        <w:ind w:left="426" w:hanging="426"/>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lang w:val="tr"/>
        </w:rPr>
        <w:t xml:space="preserve">United Nations. 2020. Global Biodiversity Outlook 5. Montreal: Secretariat of the Convention on Biological Diversity. Available at </w:t>
      </w:r>
      <w:r w:rsidR="006A5BAB" w:rsidRPr="00484F81">
        <w:fldChar w:fldCharType="begin"/>
      </w:r>
      <w:r w:rsidR="006A5BAB" w:rsidRPr="00484F81">
        <w:instrText>HYPERLINK "https://www.cbd.int/gbo5"</w:instrText>
      </w:r>
      <w:r w:rsidR="006A5BAB" w:rsidRPr="00484F81">
        <w:fldChar w:fldCharType="separate"/>
      </w:r>
      <w:r w:rsidR="006A5BAB" w:rsidRPr="00484F81">
        <w:rPr>
          <w:rStyle w:val="Hyperlink"/>
          <w:rFonts w:ascii="Times New Roman" w:hAnsi="Times New Roman" w:cs="Times New Roman"/>
          <w:lang w:val="tr"/>
        </w:rPr>
        <w:t>https://www.cbd.int/gbo5</w:t>
      </w:r>
      <w:r w:rsidR="006A5BAB" w:rsidRPr="00484F81">
        <w:fldChar w:fldCharType="end"/>
      </w:r>
      <w:r w:rsidRPr="00484F81">
        <w:rPr>
          <w:rFonts w:ascii="Times New Roman" w:hAnsi="Times New Roman" w:cs="Times New Roman"/>
          <w:color w:val="000000" w:themeColor="text1"/>
          <w:lang w:val="tr"/>
        </w:rPr>
        <w:t>.</w:t>
      </w:r>
    </w:p>
    <w:p w14:paraId="1CE6EA02" w14:textId="77777777" w:rsidR="00C6663B" w:rsidRPr="00484F81" w:rsidRDefault="006A5BAB" w:rsidP="00C6663B">
      <w:pPr>
        <w:pStyle w:val="ListParagraph"/>
        <w:numPr>
          <w:ilvl w:val="0"/>
          <w:numId w:val="1"/>
        </w:numPr>
        <w:ind w:left="426" w:hanging="426"/>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lang w:val="tr"/>
        </w:rPr>
        <w:lastRenderedPageBreak/>
        <w:t xml:space="preserve">Lal, R. (2004). Soil Carbon Sequestration Impacts on Global Climate Change and Food Security. Science, 304(5677), 1623–1627. DOI: </w:t>
      </w:r>
      <w:hyperlink r:id="rId46" w:history="1">
        <w:r w:rsidRPr="00484F81">
          <w:rPr>
            <w:rStyle w:val="Hyperlink"/>
            <w:rFonts w:ascii="Times New Roman" w:hAnsi="Times New Roman" w:cs="Times New Roman"/>
            <w:lang w:val="tr"/>
          </w:rPr>
          <w:t>https://doi.org/10.1126/science.1097396</w:t>
        </w:r>
      </w:hyperlink>
      <w:r w:rsidRPr="00484F81">
        <w:rPr>
          <w:rFonts w:ascii="Times New Roman" w:hAnsi="Times New Roman" w:cs="Times New Roman"/>
          <w:color w:val="000000" w:themeColor="text1"/>
          <w:lang w:val="tr"/>
        </w:rPr>
        <w:t>.</w:t>
      </w:r>
    </w:p>
    <w:p w14:paraId="36707C5B" w14:textId="79DEF3C4" w:rsidR="00E410A6" w:rsidRPr="00484F81" w:rsidRDefault="00E410A6" w:rsidP="3C5DB29E">
      <w:pPr>
        <w:pStyle w:val="ListParagraph"/>
        <w:numPr>
          <w:ilvl w:val="0"/>
          <w:numId w:val="1"/>
        </w:numPr>
        <w:ind w:left="426" w:hanging="426"/>
        <w:jc w:val="both"/>
        <w:rPr>
          <w:rFonts w:ascii="Times New Roman" w:hAnsi="Times New Roman" w:cs="Times New Roman"/>
          <w:color w:val="000000" w:themeColor="text1"/>
        </w:rPr>
      </w:pPr>
      <w:r w:rsidRPr="00484F81">
        <w:rPr>
          <w:rFonts w:ascii="Times New Roman" w:hAnsi="Times New Roman" w:cs="Times New Roman"/>
          <w:color w:val="333333"/>
          <w:shd w:val="clear" w:color="auto" w:fill="EAEAEA"/>
          <w:lang w:val="tr"/>
        </w:rPr>
        <w:t xml:space="preserve">Lal, R. (2020). Regenerative agriculture for food and climate. Journal of Soil and Water Conservation, 75(5), 123A-124A. </w:t>
      </w:r>
      <w:r w:rsidRPr="00484F81">
        <w:rPr>
          <w:rFonts w:ascii="Times New Roman" w:hAnsi="Times New Roman" w:cs="Times New Roman"/>
          <w:color w:val="333333"/>
          <w:shd w:val="clear" w:color="auto" w:fill="EAEAEA"/>
        </w:rPr>
        <w:t xml:space="preserve">DOI: </w:t>
      </w:r>
      <w:hyperlink r:id="rId47" w:history="1">
        <w:r w:rsidRPr="00484F81">
          <w:rPr>
            <w:rStyle w:val="Hyperlink"/>
            <w:rFonts w:ascii="Times New Roman" w:hAnsi="Times New Roman" w:cs="Times New Roman"/>
          </w:rPr>
          <w:t>https://doi.org/10.2489/jswc.2020.0620A</w:t>
        </w:r>
      </w:hyperlink>
      <w:r w:rsidRPr="00484F81">
        <w:rPr>
          <w:rFonts w:ascii="Times New Roman" w:hAnsi="Times New Roman" w:cs="Times New Roman"/>
          <w:color w:val="333333"/>
          <w:shd w:val="clear" w:color="auto" w:fill="EAEAEA"/>
        </w:rPr>
        <w:t>.</w:t>
      </w:r>
    </w:p>
    <w:p w14:paraId="51C3DF7E" w14:textId="2EC28634" w:rsidR="00D3385E" w:rsidRPr="00484F81" w:rsidRDefault="00D3385E" w:rsidP="00D3385E">
      <w:pPr>
        <w:pStyle w:val="ListParagraph"/>
        <w:numPr>
          <w:ilvl w:val="0"/>
          <w:numId w:val="1"/>
        </w:numPr>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rPr>
        <w:t xml:space="preserve">Chadwick, D., </w:t>
      </w:r>
      <w:proofErr w:type="spellStart"/>
      <w:r w:rsidRPr="00484F81">
        <w:rPr>
          <w:rFonts w:ascii="Times New Roman" w:hAnsi="Times New Roman" w:cs="Times New Roman"/>
          <w:color w:val="000000" w:themeColor="text1"/>
        </w:rPr>
        <w:t>Sommer</w:t>
      </w:r>
      <w:proofErr w:type="spellEnd"/>
      <w:r w:rsidRPr="00484F81">
        <w:rPr>
          <w:rFonts w:ascii="Times New Roman" w:hAnsi="Times New Roman" w:cs="Times New Roman"/>
          <w:color w:val="000000" w:themeColor="text1"/>
        </w:rPr>
        <w:t xml:space="preserve">, S., </w:t>
      </w:r>
      <w:proofErr w:type="spellStart"/>
      <w:r w:rsidRPr="00484F81">
        <w:rPr>
          <w:rFonts w:ascii="Times New Roman" w:hAnsi="Times New Roman" w:cs="Times New Roman"/>
          <w:color w:val="000000" w:themeColor="text1"/>
        </w:rPr>
        <w:t>Thorman</w:t>
      </w:r>
      <w:proofErr w:type="spellEnd"/>
      <w:r w:rsidRPr="00484F81">
        <w:rPr>
          <w:rFonts w:ascii="Times New Roman" w:hAnsi="Times New Roman" w:cs="Times New Roman"/>
          <w:color w:val="000000" w:themeColor="text1"/>
        </w:rPr>
        <w:t xml:space="preserve">, R., </w:t>
      </w:r>
      <w:proofErr w:type="spellStart"/>
      <w:r w:rsidRPr="00484F81">
        <w:rPr>
          <w:rFonts w:ascii="Times New Roman" w:hAnsi="Times New Roman" w:cs="Times New Roman"/>
          <w:color w:val="000000" w:themeColor="text1"/>
        </w:rPr>
        <w:t>Fangueiro</w:t>
      </w:r>
      <w:proofErr w:type="spellEnd"/>
      <w:r w:rsidRPr="00484F81">
        <w:rPr>
          <w:rFonts w:ascii="Times New Roman" w:hAnsi="Times New Roman" w:cs="Times New Roman"/>
          <w:color w:val="000000" w:themeColor="text1"/>
        </w:rPr>
        <w:t xml:space="preserve">, D., </w:t>
      </w:r>
      <w:proofErr w:type="spellStart"/>
      <w:r w:rsidRPr="00484F81">
        <w:rPr>
          <w:rFonts w:ascii="Times New Roman" w:hAnsi="Times New Roman" w:cs="Times New Roman"/>
          <w:color w:val="000000" w:themeColor="text1"/>
        </w:rPr>
        <w:t>Cardenas</w:t>
      </w:r>
      <w:proofErr w:type="spellEnd"/>
      <w:r w:rsidRPr="00484F81">
        <w:rPr>
          <w:rFonts w:ascii="Times New Roman" w:hAnsi="Times New Roman" w:cs="Times New Roman"/>
          <w:color w:val="000000" w:themeColor="text1"/>
        </w:rPr>
        <w:t xml:space="preserve">, L., </w:t>
      </w:r>
      <w:proofErr w:type="spellStart"/>
      <w:r w:rsidRPr="00484F81">
        <w:rPr>
          <w:rFonts w:ascii="Times New Roman" w:hAnsi="Times New Roman" w:cs="Times New Roman"/>
          <w:color w:val="000000" w:themeColor="text1"/>
        </w:rPr>
        <w:t>Amon</w:t>
      </w:r>
      <w:proofErr w:type="spellEnd"/>
      <w:r w:rsidRPr="00484F81">
        <w:rPr>
          <w:rFonts w:ascii="Times New Roman" w:hAnsi="Times New Roman" w:cs="Times New Roman"/>
          <w:color w:val="000000" w:themeColor="text1"/>
        </w:rPr>
        <w:t xml:space="preserve">, B., </w:t>
      </w:r>
      <w:proofErr w:type="spellStart"/>
      <w:r w:rsidRPr="00484F81">
        <w:rPr>
          <w:rFonts w:ascii="Times New Roman" w:hAnsi="Times New Roman" w:cs="Times New Roman"/>
          <w:color w:val="000000" w:themeColor="text1"/>
        </w:rPr>
        <w:t>Misselbrook</w:t>
      </w:r>
      <w:proofErr w:type="spellEnd"/>
      <w:r w:rsidRPr="00484F81">
        <w:rPr>
          <w:rFonts w:ascii="Times New Roman" w:hAnsi="Times New Roman" w:cs="Times New Roman"/>
          <w:color w:val="000000" w:themeColor="text1"/>
        </w:rPr>
        <w:t xml:space="preserve">, T. (2011). </w:t>
      </w:r>
      <w:proofErr w:type="spellStart"/>
      <w:r w:rsidRPr="00484F81">
        <w:rPr>
          <w:rFonts w:ascii="Times New Roman" w:hAnsi="Times New Roman" w:cs="Times New Roman"/>
          <w:color w:val="000000" w:themeColor="text1"/>
        </w:rPr>
        <w:t>Manure</w:t>
      </w:r>
      <w:proofErr w:type="spellEnd"/>
      <w:r w:rsidRPr="00484F81">
        <w:rPr>
          <w:rFonts w:ascii="Times New Roman" w:hAnsi="Times New Roman" w:cs="Times New Roman"/>
          <w:color w:val="000000" w:themeColor="text1"/>
        </w:rPr>
        <w:t xml:space="preserve"> </w:t>
      </w:r>
      <w:proofErr w:type="spellStart"/>
      <w:r w:rsidRPr="00484F81">
        <w:rPr>
          <w:rFonts w:ascii="Times New Roman" w:hAnsi="Times New Roman" w:cs="Times New Roman"/>
          <w:color w:val="000000" w:themeColor="text1"/>
        </w:rPr>
        <w:t>management</w:t>
      </w:r>
      <w:proofErr w:type="spellEnd"/>
      <w:r w:rsidRPr="00484F81">
        <w:rPr>
          <w:rFonts w:ascii="Times New Roman" w:hAnsi="Times New Roman" w:cs="Times New Roman"/>
          <w:color w:val="000000" w:themeColor="text1"/>
        </w:rPr>
        <w:t xml:space="preserve">: </w:t>
      </w:r>
      <w:proofErr w:type="spellStart"/>
      <w:r w:rsidRPr="00484F81">
        <w:rPr>
          <w:rFonts w:ascii="Times New Roman" w:hAnsi="Times New Roman" w:cs="Times New Roman"/>
          <w:color w:val="000000" w:themeColor="text1"/>
        </w:rPr>
        <w:t>Implications</w:t>
      </w:r>
      <w:proofErr w:type="spellEnd"/>
      <w:r w:rsidRPr="00484F81">
        <w:rPr>
          <w:rFonts w:ascii="Times New Roman" w:hAnsi="Times New Roman" w:cs="Times New Roman"/>
          <w:color w:val="000000" w:themeColor="text1"/>
        </w:rPr>
        <w:t xml:space="preserve"> </w:t>
      </w:r>
      <w:proofErr w:type="spellStart"/>
      <w:r w:rsidRPr="00484F81">
        <w:rPr>
          <w:rFonts w:ascii="Times New Roman" w:hAnsi="Times New Roman" w:cs="Times New Roman"/>
          <w:color w:val="000000" w:themeColor="text1"/>
        </w:rPr>
        <w:t>for</w:t>
      </w:r>
      <w:proofErr w:type="spellEnd"/>
      <w:r w:rsidRPr="00484F81">
        <w:rPr>
          <w:rFonts w:ascii="Times New Roman" w:hAnsi="Times New Roman" w:cs="Times New Roman"/>
          <w:color w:val="000000" w:themeColor="text1"/>
        </w:rPr>
        <w:t xml:space="preserve"> </w:t>
      </w:r>
      <w:proofErr w:type="spellStart"/>
      <w:r w:rsidRPr="00484F81">
        <w:rPr>
          <w:rFonts w:ascii="Times New Roman" w:hAnsi="Times New Roman" w:cs="Times New Roman"/>
          <w:color w:val="000000" w:themeColor="text1"/>
        </w:rPr>
        <w:t>greenhouse</w:t>
      </w:r>
      <w:proofErr w:type="spellEnd"/>
      <w:r w:rsidRPr="00484F81">
        <w:rPr>
          <w:rFonts w:ascii="Times New Roman" w:hAnsi="Times New Roman" w:cs="Times New Roman"/>
          <w:color w:val="000000" w:themeColor="text1"/>
        </w:rPr>
        <w:t xml:space="preserve"> gas </w:t>
      </w:r>
      <w:proofErr w:type="spellStart"/>
      <w:r w:rsidRPr="00484F81">
        <w:rPr>
          <w:rFonts w:ascii="Times New Roman" w:hAnsi="Times New Roman" w:cs="Times New Roman"/>
          <w:color w:val="000000" w:themeColor="text1"/>
        </w:rPr>
        <w:t>emissions</w:t>
      </w:r>
      <w:proofErr w:type="spellEnd"/>
      <w:r w:rsidRPr="00484F81">
        <w:rPr>
          <w:rFonts w:ascii="Times New Roman" w:hAnsi="Times New Roman" w:cs="Times New Roman"/>
          <w:color w:val="000000" w:themeColor="text1"/>
        </w:rPr>
        <w:t xml:space="preserve">. </w:t>
      </w:r>
      <w:r w:rsidRPr="00484F81">
        <w:rPr>
          <w:rFonts w:ascii="Times New Roman" w:hAnsi="Times New Roman" w:cs="Times New Roman"/>
          <w:color w:val="000000" w:themeColor="text1"/>
          <w:lang w:val="tr"/>
        </w:rPr>
        <w:t xml:space="preserve">Animal Feed Science and Technology, vol. 166–167, pp. 514-531. DOI: </w:t>
      </w:r>
      <w:hyperlink r:id="rId48" w:history="1">
        <w:r w:rsidR="00F566FE" w:rsidRPr="00484F81">
          <w:rPr>
            <w:rStyle w:val="Hyperlink"/>
            <w:rFonts w:ascii="Times New Roman" w:hAnsi="Times New Roman" w:cs="Times New Roman"/>
            <w:lang w:val="tr"/>
          </w:rPr>
          <w:t>https://doi.org/10.1016/j.anifeedsci.2011.04.036</w:t>
        </w:r>
      </w:hyperlink>
      <w:r w:rsidRPr="00484F81">
        <w:rPr>
          <w:rFonts w:ascii="Times New Roman" w:hAnsi="Times New Roman" w:cs="Times New Roman"/>
          <w:color w:val="000000" w:themeColor="text1"/>
          <w:lang w:val="tr"/>
        </w:rPr>
        <w:t>.</w:t>
      </w:r>
    </w:p>
    <w:p w14:paraId="1B6567A1" w14:textId="22A73BBB" w:rsidR="007331F3" w:rsidRPr="00484F81" w:rsidRDefault="00F566FE" w:rsidP="00D3385E">
      <w:pPr>
        <w:pStyle w:val="ListParagraph"/>
        <w:numPr>
          <w:ilvl w:val="0"/>
          <w:numId w:val="1"/>
        </w:numPr>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lang w:val="tr"/>
        </w:rPr>
        <w:t xml:space="preserve">Millennium Ecosystem Assessment (MEA). (2005). Ecosystems and Human Well-being: Synthesis. Washington, DC: Island Press, </w:t>
      </w:r>
      <w:r w:rsidR="0000609E" w:rsidRPr="00484F81">
        <w:rPr>
          <w:rFonts w:ascii="Times New Roman" w:hAnsi="Times New Roman" w:cs="Times New Roman"/>
          <w:color w:val="000000" w:themeColor="text1"/>
          <w:lang w:val="tr"/>
        </w:rPr>
        <w:t>Available</w:t>
      </w:r>
      <w:r w:rsidRPr="00484F81">
        <w:rPr>
          <w:rFonts w:ascii="Times New Roman" w:hAnsi="Times New Roman" w:cs="Times New Roman"/>
          <w:color w:val="000000" w:themeColor="text1"/>
          <w:lang w:val="tr"/>
        </w:rPr>
        <w:t xml:space="preserve"> at </w:t>
      </w:r>
      <w:hyperlink r:id="rId49" w:history="1">
        <w:r w:rsidR="007331F3" w:rsidRPr="00484F81">
          <w:rPr>
            <w:rStyle w:val="Hyperlink"/>
            <w:rFonts w:ascii="Times New Roman" w:hAnsi="Times New Roman" w:cs="Times New Roman"/>
            <w:lang w:val="tr"/>
          </w:rPr>
          <w:t>https://www.millenniumassessment.org</w:t>
        </w:r>
      </w:hyperlink>
      <w:r w:rsidR="007331F3" w:rsidRPr="00484F81">
        <w:rPr>
          <w:rFonts w:ascii="Times New Roman" w:hAnsi="Times New Roman" w:cs="Times New Roman"/>
          <w:color w:val="000000" w:themeColor="text1"/>
          <w:lang w:val="tr"/>
        </w:rPr>
        <w:t>.</w:t>
      </w:r>
    </w:p>
    <w:p w14:paraId="19F2D3AF" w14:textId="793A95C5" w:rsidR="00F566FE" w:rsidRPr="00484F81" w:rsidRDefault="007331F3" w:rsidP="007331F3">
      <w:pPr>
        <w:pStyle w:val="ListParagraph"/>
        <w:numPr>
          <w:ilvl w:val="0"/>
          <w:numId w:val="1"/>
        </w:numPr>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lang w:val="da-DK"/>
        </w:rPr>
        <w:t xml:space="preserve">Jonathan A. Foley et al. </w:t>
      </w:r>
      <w:r w:rsidRPr="00484F81">
        <w:rPr>
          <w:rFonts w:ascii="Times New Roman" w:hAnsi="Times New Roman" w:cs="Times New Roman"/>
          <w:color w:val="000000" w:themeColor="text1"/>
          <w:lang w:val="tr"/>
        </w:rPr>
        <w:t>(2005). Global Consequences of Land Use. Science vol. 309, pp. 570-574.DOI:10.1126/science.1111772.</w:t>
      </w:r>
    </w:p>
    <w:p w14:paraId="5403D6E7" w14:textId="6FE0F4E4" w:rsidR="00305AA9" w:rsidRPr="00484F81" w:rsidRDefault="00305AA9" w:rsidP="007331F3">
      <w:pPr>
        <w:pStyle w:val="ListParagraph"/>
        <w:numPr>
          <w:ilvl w:val="0"/>
          <w:numId w:val="1"/>
        </w:numPr>
        <w:jc w:val="both"/>
        <w:rPr>
          <w:rFonts w:ascii="Times New Roman" w:hAnsi="Times New Roman" w:cs="Times New Roman"/>
          <w:color w:val="000000" w:themeColor="text1"/>
          <w:lang w:val="en-GB"/>
        </w:rPr>
      </w:pPr>
      <w:r w:rsidRPr="00484F81">
        <w:rPr>
          <w:rFonts w:ascii="Times New Roman" w:hAnsi="Times New Roman" w:cs="Times New Roman"/>
          <w:color w:val="000000" w:themeColor="text1"/>
          <w:lang w:val="pl-PL"/>
        </w:rPr>
        <w:t xml:space="preserve">Brady, N. C., Weil, R. R. (2016). </w:t>
      </w:r>
      <w:r w:rsidRPr="00484F81">
        <w:rPr>
          <w:rFonts w:ascii="Times New Roman" w:hAnsi="Times New Roman" w:cs="Times New Roman"/>
          <w:color w:val="000000" w:themeColor="text1"/>
          <w:lang w:val="tr"/>
        </w:rPr>
        <w:t>The Nature and Properties of Soils (15th ed.). Pearson Education.</w:t>
      </w:r>
    </w:p>
    <w:p w14:paraId="11982A85" w14:textId="41848C4D" w:rsidR="0088346C" w:rsidRPr="00484F81" w:rsidRDefault="00824E8E" w:rsidP="3C5DB29E">
      <w:pPr>
        <w:pStyle w:val="ListParagraph"/>
        <w:numPr>
          <w:ilvl w:val="0"/>
          <w:numId w:val="1"/>
        </w:numPr>
        <w:jc w:val="both"/>
        <w:rPr>
          <w:rFonts w:ascii="Times New Roman" w:hAnsi="Times New Roman" w:cs="Times New Roman"/>
          <w:color w:val="000000" w:themeColor="text1"/>
          <w:lang w:val="tr"/>
        </w:rPr>
      </w:pPr>
      <w:r w:rsidRPr="00484F81">
        <w:rPr>
          <w:rFonts w:ascii="Times New Roman" w:hAnsi="Times New Roman" w:cs="Times New Roman"/>
          <w:color w:val="000000" w:themeColor="text1"/>
          <w:lang w:val="tr"/>
        </w:rPr>
        <w:t>EU Mission Soil Deal for Europe</w:t>
      </w:r>
      <w:r w:rsidR="000E14A7" w:rsidRPr="00484F81">
        <w:rPr>
          <w:rFonts w:ascii="Times New Roman" w:hAnsi="Times New Roman" w:cs="Times New Roman"/>
          <w:color w:val="000000" w:themeColor="text1"/>
          <w:lang w:val="tr"/>
        </w:rPr>
        <w:t xml:space="preserve">. 100 living labs and lighthouses to lead the transition towards </w:t>
      </w:r>
      <w:r w:rsidR="0000609E" w:rsidRPr="00484F81">
        <w:rPr>
          <w:rFonts w:ascii="Times New Roman" w:hAnsi="Times New Roman" w:cs="Times New Roman"/>
          <w:color w:val="000000" w:themeColor="text1"/>
          <w:lang w:val="tr"/>
        </w:rPr>
        <w:t>healthy soils</w:t>
      </w:r>
      <w:r w:rsidR="000E14A7" w:rsidRPr="00484F81">
        <w:rPr>
          <w:rFonts w:ascii="Times New Roman" w:hAnsi="Times New Roman" w:cs="Times New Roman"/>
          <w:color w:val="000000" w:themeColor="text1"/>
          <w:lang w:val="tr"/>
        </w:rPr>
        <w:t xml:space="preserve"> by 2023.</w:t>
      </w:r>
      <w:r w:rsidRPr="00484F81">
        <w:rPr>
          <w:rFonts w:ascii="Times New Roman" w:hAnsi="Times New Roman" w:cs="Times New Roman"/>
          <w:color w:val="000000" w:themeColor="text1"/>
          <w:lang w:val="tr"/>
        </w:rPr>
        <w:t xml:space="preserve"> Implementation plan</w:t>
      </w:r>
      <w:r w:rsidR="006E6A5C" w:rsidRPr="00484F81">
        <w:rPr>
          <w:rFonts w:ascii="Times New Roman" w:hAnsi="Times New Roman" w:cs="Times New Roman"/>
          <w:color w:val="000000" w:themeColor="text1"/>
          <w:lang w:val="tr"/>
        </w:rPr>
        <w:t xml:space="preserve">. Available at </w:t>
      </w:r>
      <w:hyperlink r:id="rId50">
        <w:r w:rsidR="006E6A5C" w:rsidRPr="00484F81">
          <w:rPr>
            <w:rStyle w:val="Hyperlink"/>
            <w:rFonts w:ascii="Times New Roman" w:hAnsi="Times New Roman" w:cs="Times New Roman"/>
            <w:lang w:val="tr"/>
          </w:rPr>
          <w:t>https://research-and-innovation.ec.europa.eu/knowledge-publications-tools-and-data/publications/all-publications/implementation-plans-eu-missions_en</w:t>
        </w:r>
      </w:hyperlink>
    </w:p>
    <w:sectPr w:rsidR="0088346C" w:rsidRPr="00484F81" w:rsidSect="00005425">
      <w:headerReference w:type="default" r:id="rId51"/>
      <w:footerReference w:type="default" r:id="rId5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381BE" w14:textId="77777777" w:rsidR="00E44A06" w:rsidRDefault="00E44A06" w:rsidP="00D45FCE">
      <w:pPr>
        <w:spacing w:after="0" w:line="240" w:lineRule="auto"/>
      </w:pPr>
      <w:r>
        <w:separator/>
      </w:r>
    </w:p>
  </w:endnote>
  <w:endnote w:type="continuationSeparator" w:id="0">
    <w:p w14:paraId="1A80F786" w14:textId="77777777" w:rsidR="00E44A06" w:rsidRDefault="00E44A06" w:rsidP="00D45FCE">
      <w:pPr>
        <w:spacing w:after="0" w:line="240" w:lineRule="auto"/>
      </w:pPr>
      <w:r>
        <w:continuationSeparator/>
      </w:r>
    </w:p>
  </w:endnote>
  <w:endnote w:type="continuationNotice" w:id="1">
    <w:p w14:paraId="22AFE28D" w14:textId="77777777" w:rsidR="00E44A06" w:rsidRDefault="00E44A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CBC64" w14:textId="77777777" w:rsidR="00E14DC8" w:rsidRPr="00D45FCE" w:rsidRDefault="00E14DC8" w:rsidP="00D45FCE">
    <w:pPr>
      <w:pStyle w:val="Footer"/>
    </w:pPr>
    <w:r w:rsidRPr="00D45FCE">
      <w:rPr>
        <w:noProof/>
        <w:lang w:val="pl-PL" w:eastAsia="pl-PL"/>
      </w:rPr>
      <w:drawing>
        <wp:anchor distT="0" distB="0" distL="114300" distR="114300" simplePos="0" relativeHeight="251658240" behindDoc="1" locked="0" layoutInCell="1" allowOverlap="1" wp14:anchorId="30695511" wp14:editId="53F14B9A">
          <wp:simplePos x="0" y="0"/>
          <wp:positionH relativeFrom="page">
            <wp:posOffset>-6350</wp:posOffset>
          </wp:positionH>
          <wp:positionV relativeFrom="paragraph">
            <wp:posOffset>-47567</wp:posOffset>
          </wp:positionV>
          <wp:extent cx="7626985" cy="650875"/>
          <wp:effectExtent l="0" t="0" r="0" b="0"/>
          <wp:wrapNone/>
          <wp:docPr id="16830283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28353" name=""/>
                  <pic:cNvPicPr/>
                </pic:nvPicPr>
                <pic:blipFill>
                  <a:blip r:embed="rId1">
                    <a:extLst>
                      <a:ext uri="{28A0092B-C50C-407E-A947-70E740481C1C}">
                        <a14:useLocalDpi xmlns:a14="http://schemas.microsoft.com/office/drawing/2010/main" val="0"/>
                      </a:ext>
                    </a:extLst>
                  </a:blip>
                  <a:stretch>
                    <a:fillRect/>
                  </a:stretch>
                </pic:blipFill>
                <pic:spPr>
                  <a:xfrm>
                    <a:off x="0" y="0"/>
                    <a:ext cx="7626985" cy="6508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DE94A" w14:textId="77777777" w:rsidR="00E44A06" w:rsidRDefault="00E44A06" w:rsidP="00D45FCE">
      <w:pPr>
        <w:spacing w:after="0" w:line="240" w:lineRule="auto"/>
      </w:pPr>
      <w:r>
        <w:separator/>
      </w:r>
    </w:p>
  </w:footnote>
  <w:footnote w:type="continuationSeparator" w:id="0">
    <w:p w14:paraId="395F4A58" w14:textId="77777777" w:rsidR="00E44A06" w:rsidRDefault="00E44A06" w:rsidP="00D45FCE">
      <w:pPr>
        <w:spacing w:after="0" w:line="240" w:lineRule="auto"/>
      </w:pPr>
      <w:r>
        <w:continuationSeparator/>
      </w:r>
    </w:p>
  </w:footnote>
  <w:footnote w:type="continuationNotice" w:id="1">
    <w:p w14:paraId="6BB23E25" w14:textId="77777777" w:rsidR="00E44A06" w:rsidRDefault="00E44A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633A2" w14:textId="77777777" w:rsidR="00E14DC8" w:rsidRDefault="00E14DC8">
    <w:pPr>
      <w:pStyle w:val="Header"/>
    </w:pPr>
    <w:r>
      <w:rPr>
        <w:noProof/>
        <w:lang w:val="pl-PL" w:eastAsia="pl-PL"/>
      </w:rPr>
      <w:drawing>
        <wp:anchor distT="0" distB="0" distL="114300" distR="114300" simplePos="0" relativeHeight="251658241" behindDoc="0" locked="0" layoutInCell="1" allowOverlap="1" wp14:anchorId="63F9C53D" wp14:editId="00108F4E">
          <wp:simplePos x="0" y="0"/>
          <wp:positionH relativeFrom="column">
            <wp:posOffset>3580938</wp:posOffset>
          </wp:positionH>
          <wp:positionV relativeFrom="paragraph">
            <wp:posOffset>-88496</wp:posOffset>
          </wp:positionV>
          <wp:extent cx="2575560" cy="350520"/>
          <wp:effectExtent l="0" t="0" r="0" b="0"/>
          <wp:wrapNone/>
          <wp:docPr id="10697974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5560" cy="350520"/>
                  </a:xfrm>
                  <a:prstGeom prst="rect">
                    <a:avLst/>
                  </a:prstGeom>
                  <a:noFill/>
                </pic:spPr>
              </pic:pic>
            </a:graphicData>
          </a:graphic>
        </wp:anchor>
      </w:drawing>
    </w:r>
    <w:r>
      <w:rPr>
        <w:noProof/>
        <w:lang w:val="pl-PL" w:eastAsia="pl-PL"/>
      </w:rPr>
      <w:drawing>
        <wp:anchor distT="0" distB="0" distL="114300" distR="114300" simplePos="0" relativeHeight="251658242" behindDoc="0" locked="0" layoutInCell="1" allowOverlap="1" wp14:anchorId="16564428" wp14:editId="06817B71">
          <wp:simplePos x="0" y="0"/>
          <wp:positionH relativeFrom="column">
            <wp:posOffset>-664152</wp:posOffset>
          </wp:positionH>
          <wp:positionV relativeFrom="paragraph">
            <wp:posOffset>-109682</wp:posOffset>
          </wp:positionV>
          <wp:extent cx="2018049" cy="685800"/>
          <wp:effectExtent l="0" t="0" r="1270" b="0"/>
          <wp:wrapNone/>
          <wp:docPr id="839011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8049" cy="6858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C2025"/>
    <w:multiLevelType w:val="hybridMultilevel"/>
    <w:tmpl w:val="D95E74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6F04504"/>
    <w:multiLevelType w:val="hybridMultilevel"/>
    <w:tmpl w:val="44D4EE1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9301F01"/>
    <w:multiLevelType w:val="hybridMultilevel"/>
    <w:tmpl w:val="1F0A4E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CAC0CC4"/>
    <w:multiLevelType w:val="hybridMultilevel"/>
    <w:tmpl w:val="460A50C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142692641">
    <w:abstractNumId w:val="3"/>
  </w:num>
  <w:num w:numId="2" w16cid:durableId="717508464">
    <w:abstractNumId w:val="2"/>
  </w:num>
  <w:num w:numId="3" w16cid:durableId="508981533">
    <w:abstractNumId w:val="0"/>
  </w:num>
  <w:num w:numId="4" w16cid:durableId="19588765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FCE"/>
    <w:rsid w:val="0000122B"/>
    <w:rsid w:val="00005425"/>
    <w:rsid w:val="0000609E"/>
    <w:rsid w:val="000328C5"/>
    <w:rsid w:val="00040F5F"/>
    <w:rsid w:val="000666CF"/>
    <w:rsid w:val="00072F36"/>
    <w:rsid w:val="000972C1"/>
    <w:rsid w:val="00097541"/>
    <w:rsid w:val="000A1D24"/>
    <w:rsid w:val="000A61D6"/>
    <w:rsid w:val="000C0C36"/>
    <w:rsid w:val="000C1C0A"/>
    <w:rsid w:val="000C7CFD"/>
    <w:rsid w:val="000E14A7"/>
    <w:rsid w:val="000E783F"/>
    <w:rsid w:val="001023E6"/>
    <w:rsid w:val="00103DC5"/>
    <w:rsid w:val="00143C75"/>
    <w:rsid w:val="00145FCE"/>
    <w:rsid w:val="001519D8"/>
    <w:rsid w:val="00167B17"/>
    <w:rsid w:val="001A43DB"/>
    <w:rsid w:val="001A5BD9"/>
    <w:rsid w:val="001B1D9B"/>
    <w:rsid w:val="001B4585"/>
    <w:rsid w:val="001D42F7"/>
    <w:rsid w:val="001D7EC2"/>
    <w:rsid w:val="001E013E"/>
    <w:rsid w:val="0021576C"/>
    <w:rsid w:val="00235624"/>
    <w:rsid w:val="00245C36"/>
    <w:rsid w:val="00262263"/>
    <w:rsid w:val="00263A54"/>
    <w:rsid w:val="00266FDC"/>
    <w:rsid w:val="002834EC"/>
    <w:rsid w:val="002841B1"/>
    <w:rsid w:val="00286FD8"/>
    <w:rsid w:val="002928B0"/>
    <w:rsid w:val="00295DE0"/>
    <w:rsid w:val="002A25F6"/>
    <w:rsid w:val="002A67F8"/>
    <w:rsid w:val="002B3B16"/>
    <w:rsid w:val="002B433D"/>
    <w:rsid w:val="002F0403"/>
    <w:rsid w:val="002F1A9D"/>
    <w:rsid w:val="003036C6"/>
    <w:rsid w:val="00305AA9"/>
    <w:rsid w:val="00305B7A"/>
    <w:rsid w:val="003222BB"/>
    <w:rsid w:val="00325D69"/>
    <w:rsid w:val="0033472B"/>
    <w:rsid w:val="00336CC7"/>
    <w:rsid w:val="00340A59"/>
    <w:rsid w:val="0035414B"/>
    <w:rsid w:val="00373999"/>
    <w:rsid w:val="00381B1D"/>
    <w:rsid w:val="00392C41"/>
    <w:rsid w:val="0039340A"/>
    <w:rsid w:val="003B4948"/>
    <w:rsid w:val="003B59F1"/>
    <w:rsid w:val="003B59F6"/>
    <w:rsid w:val="003B700C"/>
    <w:rsid w:val="003D7524"/>
    <w:rsid w:val="003F1C18"/>
    <w:rsid w:val="003F670C"/>
    <w:rsid w:val="00400A2C"/>
    <w:rsid w:val="00401AC5"/>
    <w:rsid w:val="00403E02"/>
    <w:rsid w:val="004057B3"/>
    <w:rsid w:val="0041374C"/>
    <w:rsid w:val="00430B8F"/>
    <w:rsid w:val="00431FEF"/>
    <w:rsid w:val="00451D6D"/>
    <w:rsid w:val="00481076"/>
    <w:rsid w:val="00484F81"/>
    <w:rsid w:val="004A1284"/>
    <w:rsid w:val="004B1424"/>
    <w:rsid w:val="004C6804"/>
    <w:rsid w:val="004E6CA3"/>
    <w:rsid w:val="004F7434"/>
    <w:rsid w:val="0051144D"/>
    <w:rsid w:val="00525540"/>
    <w:rsid w:val="00544C03"/>
    <w:rsid w:val="00550145"/>
    <w:rsid w:val="0055428B"/>
    <w:rsid w:val="00573E13"/>
    <w:rsid w:val="00582A39"/>
    <w:rsid w:val="005A51C5"/>
    <w:rsid w:val="005A766D"/>
    <w:rsid w:val="005E604C"/>
    <w:rsid w:val="005F5916"/>
    <w:rsid w:val="005F70A0"/>
    <w:rsid w:val="006236FB"/>
    <w:rsid w:val="00627419"/>
    <w:rsid w:val="00644919"/>
    <w:rsid w:val="006471A4"/>
    <w:rsid w:val="0064757E"/>
    <w:rsid w:val="00651CAE"/>
    <w:rsid w:val="0067008A"/>
    <w:rsid w:val="006810B8"/>
    <w:rsid w:val="006A5BAB"/>
    <w:rsid w:val="006A78A6"/>
    <w:rsid w:val="006C4BFC"/>
    <w:rsid w:val="006D24D6"/>
    <w:rsid w:val="006E6A5C"/>
    <w:rsid w:val="006F116C"/>
    <w:rsid w:val="006F2E74"/>
    <w:rsid w:val="006F7FFC"/>
    <w:rsid w:val="007058B1"/>
    <w:rsid w:val="007331F3"/>
    <w:rsid w:val="00742F73"/>
    <w:rsid w:val="0074491D"/>
    <w:rsid w:val="00756CD9"/>
    <w:rsid w:val="00767523"/>
    <w:rsid w:val="00771247"/>
    <w:rsid w:val="00782440"/>
    <w:rsid w:val="00783BF9"/>
    <w:rsid w:val="007C06B2"/>
    <w:rsid w:val="007C4345"/>
    <w:rsid w:val="007C4628"/>
    <w:rsid w:val="007D4ACB"/>
    <w:rsid w:val="007F064D"/>
    <w:rsid w:val="00814E64"/>
    <w:rsid w:val="00824E8E"/>
    <w:rsid w:val="008341D1"/>
    <w:rsid w:val="008366AC"/>
    <w:rsid w:val="0084208D"/>
    <w:rsid w:val="008639D3"/>
    <w:rsid w:val="0087744D"/>
    <w:rsid w:val="0088346C"/>
    <w:rsid w:val="008A1794"/>
    <w:rsid w:val="008D2247"/>
    <w:rsid w:val="008E573B"/>
    <w:rsid w:val="00901C14"/>
    <w:rsid w:val="0090512F"/>
    <w:rsid w:val="009072D9"/>
    <w:rsid w:val="009745EE"/>
    <w:rsid w:val="00976B7B"/>
    <w:rsid w:val="009A04B6"/>
    <w:rsid w:val="009A1009"/>
    <w:rsid w:val="009B0042"/>
    <w:rsid w:val="009B1027"/>
    <w:rsid w:val="009B5DF5"/>
    <w:rsid w:val="009F2FB0"/>
    <w:rsid w:val="009F3CB3"/>
    <w:rsid w:val="009F6001"/>
    <w:rsid w:val="00A10227"/>
    <w:rsid w:val="00A1160B"/>
    <w:rsid w:val="00A35AB2"/>
    <w:rsid w:val="00A37719"/>
    <w:rsid w:val="00A45805"/>
    <w:rsid w:val="00A561D2"/>
    <w:rsid w:val="00A655ED"/>
    <w:rsid w:val="00A80812"/>
    <w:rsid w:val="00AA6CCC"/>
    <w:rsid w:val="00AC054B"/>
    <w:rsid w:val="00AC2856"/>
    <w:rsid w:val="00AC40AC"/>
    <w:rsid w:val="00AC66AB"/>
    <w:rsid w:val="00AD37EC"/>
    <w:rsid w:val="00AD6E49"/>
    <w:rsid w:val="00AE11B5"/>
    <w:rsid w:val="00AE2113"/>
    <w:rsid w:val="00AF434D"/>
    <w:rsid w:val="00B0252A"/>
    <w:rsid w:val="00B16535"/>
    <w:rsid w:val="00B21C9E"/>
    <w:rsid w:val="00B22A51"/>
    <w:rsid w:val="00B23CF2"/>
    <w:rsid w:val="00B2559E"/>
    <w:rsid w:val="00B3143F"/>
    <w:rsid w:val="00B43EA9"/>
    <w:rsid w:val="00B54C32"/>
    <w:rsid w:val="00B6198C"/>
    <w:rsid w:val="00B72AE8"/>
    <w:rsid w:val="00B9292D"/>
    <w:rsid w:val="00BA17DA"/>
    <w:rsid w:val="00BD4C94"/>
    <w:rsid w:val="00BE5454"/>
    <w:rsid w:val="00BE7617"/>
    <w:rsid w:val="00BF19CD"/>
    <w:rsid w:val="00BF7FA3"/>
    <w:rsid w:val="00C04F6E"/>
    <w:rsid w:val="00C21138"/>
    <w:rsid w:val="00C23627"/>
    <w:rsid w:val="00C2543C"/>
    <w:rsid w:val="00C36E3F"/>
    <w:rsid w:val="00C438AF"/>
    <w:rsid w:val="00C517B8"/>
    <w:rsid w:val="00C606FC"/>
    <w:rsid w:val="00C60A38"/>
    <w:rsid w:val="00C6663B"/>
    <w:rsid w:val="00C8583F"/>
    <w:rsid w:val="00C87532"/>
    <w:rsid w:val="00CA1E33"/>
    <w:rsid w:val="00CB0D6C"/>
    <w:rsid w:val="00CB5EC8"/>
    <w:rsid w:val="00CE2639"/>
    <w:rsid w:val="00D15F77"/>
    <w:rsid w:val="00D32CD6"/>
    <w:rsid w:val="00D32F43"/>
    <w:rsid w:val="00D3385E"/>
    <w:rsid w:val="00D33ED2"/>
    <w:rsid w:val="00D45FCE"/>
    <w:rsid w:val="00D54F67"/>
    <w:rsid w:val="00D600D0"/>
    <w:rsid w:val="00D95FD2"/>
    <w:rsid w:val="00DA15FD"/>
    <w:rsid w:val="00DB0D05"/>
    <w:rsid w:val="00DB4522"/>
    <w:rsid w:val="00DC6B39"/>
    <w:rsid w:val="00DD73DC"/>
    <w:rsid w:val="00DE364D"/>
    <w:rsid w:val="00DF7C39"/>
    <w:rsid w:val="00E03E8D"/>
    <w:rsid w:val="00E14DC8"/>
    <w:rsid w:val="00E15523"/>
    <w:rsid w:val="00E16D11"/>
    <w:rsid w:val="00E410A6"/>
    <w:rsid w:val="00E44A06"/>
    <w:rsid w:val="00E61C6A"/>
    <w:rsid w:val="00E62F23"/>
    <w:rsid w:val="00E73764"/>
    <w:rsid w:val="00E805B4"/>
    <w:rsid w:val="00E848B8"/>
    <w:rsid w:val="00EA5E54"/>
    <w:rsid w:val="00EC6030"/>
    <w:rsid w:val="00ED45AD"/>
    <w:rsid w:val="00F11928"/>
    <w:rsid w:val="00F159DB"/>
    <w:rsid w:val="00F566FE"/>
    <w:rsid w:val="00F71604"/>
    <w:rsid w:val="00F801A5"/>
    <w:rsid w:val="00F97EC8"/>
    <w:rsid w:val="00FC0459"/>
    <w:rsid w:val="0120B70E"/>
    <w:rsid w:val="02F3AD08"/>
    <w:rsid w:val="0321560D"/>
    <w:rsid w:val="038ACCA1"/>
    <w:rsid w:val="03CAA5B5"/>
    <w:rsid w:val="069D3D16"/>
    <w:rsid w:val="08483449"/>
    <w:rsid w:val="09A54ABD"/>
    <w:rsid w:val="0A6A20A6"/>
    <w:rsid w:val="0B501DB7"/>
    <w:rsid w:val="0C1E07BB"/>
    <w:rsid w:val="0F3650C6"/>
    <w:rsid w:val="109C3DB7"/>
    <w:rsid w:val="132DE855"/>
    <w:rsid w:val="14B9D434"/>
    <w:rsid w:val="152C7CC7"/>
    <w:rsid w:val="166A04CD"/>
    <w:rsid w:val="1677CE7D"/>
    <w:rsid w:val="1811A91A"/>
    <w:rsid w:val="1959BD9D"/>
    <w:rsid w:val="19D3786C"/>
    <w:rsid w:val="1FB2A38B"/>
    <w:rsid w:val="21596F9C"/>
    <w:rsid w:val="2237BAB3"/>
    <w:rsid w:val="225A63AD"/>
    <w:rsid w:val="23453E2A"/>
    <w:rsid w:val="2467DD67"/>
    <w:rsid w:val="26D3E50E"/>
    <w:rsid w:val="27C159AD"/>
    <w:rsid w:val="2A6B36B3"/>
    <w:rsid w:val="2A749744"/>
    <w:rsid w:val="2B5FC871"/>
    <w:rsid w:val="2BD05CA5"/>
    <w:rsid w:val="2C6C7817"/>
    <w:rsid w:val="2CD978D7"/>
    <w:rsid w:val="2D6C3AD2"/>
    <w:rsid w:val="2EE21F3C"/>
    <w:rsid w:val="2EFFCF3E"/>
    <w:rsid w:val="2FB38FA0"/>
    <w:rsid w:val="2FC58810"/>
    <w:rsid w:val="3175EB22"/>
    <w:rsid w:val="31C8018C"/>
    <w:rsid w:val="339664F4"/>
    <w:rsid w:val="34C59A6A"/>
    <w:rsid w:val="35E13356"/>
    <w:rsid w:val="3602B68D"/>
    <w:rsid w:val="380CF42D"/>
    <w:rsid w:val="38A1FE9B"/>
    <w:rsid w:val="39814E93"/>
    <w:rsid w:val="39A613D4"/>
    <w:rsid w:val="3B0798DC"/>
    <w:rsid w:val="3C5DB29E"/>
    <w:rsid w:val="3F4FD9A7"/>
    <w:rsid w:val="40289779"/>
    <w:rsid w:val="43B5778F"/>
    <w:rsid w:val="445FBA89"/>
    <w:rsid w:val="460C4326"/>
    <w:rsid w:val="492994D7"/>
    <w:rsid w:val="4BCDAA92"/>
    <w:rsid w:val="4C56CCDF"/>
    <w:rsid w:val="4EC0C425"/>
    <w:rsid w:val="4F25363E"/>
    <w:rsid w:val="4F734429"/>
    <w:rsid w:val="51D26CB4"/>
    <w:rsid w:val="51FCF1B2"/>
    <w:rsid w:val="527CEE95"/>
    <w:rsid w:val="530BC0D3"/>
    <w:rsid w:val="53A8CFB5"/>
    <w:rsid w:val="5421BEFE"/>
    <w:rsid w:val="54237F76"/>
    <w:rsid w:val="55BB9F1B"/>
    <w:rsid w:val="57746F43"/>
    <w:rsid w:val="577D4C5B"/>
    <w:rsid w:val="59A45F59"/>
    <w:rsid w:val="59E1B455"/>
    <w:rsid w:val="5A08A29F"/>
    <w:rsid w:val="5ABEB82E"/>
    <w:rsid w:val="5BBFCE40"/>
    <w:rsid w:val="5C9F42A9"/>
    <w:rsid w:val="6074F090"/>
    <w:rsid w:val="62305FAF"/>
    <w:rsid w:val="6396096C"/>
    <w:rsid w:val="6529DEEA"/>
    <w:rsid w:val="664DA99E"/>
    <w:rsid w:val="6790BDB9"/>
    <w:rsid w:val="679422FD"/>
    <w:rsid w:val="6879B0AA"/>
    <w:rsid w:val="68A74DE5"/>
    <w:rsid w:val="68CD78EC"/>
    <w:rsid w:val="6A6FD913"/>
    <w:rsid w:val="6F1D7D40"/>
    <w:rsid w:val="6FC4A429"/>
    <w:rsid w:val="71C68BEB"/>
    <w:rsid w:val="7223CAC4"/>
    <w:rsid w:val="73F05EC5"/>
    <w:rsid w:val="745D0BD7"/>
    <w:rsid w:val="752595BB"/>
    <w:rsid w:val="7683B95B"/>
    <w:rsid w:val="7A1A8FAE"/>
    <w:rsid w:val="7A1D2063"/>
    <w:rsid w:val="7AFF6273"/>
    <w:rsid w:val="7C89EF0F"/>
    <w:rsid w:val="7D7E0133"/>
  </w:rsids>
  <m:mathPr>
    <m:mathFont m:val="Cambria Math"/>
    <m:brkBin m:val="before"/>
    <m:brkBinSub m:val="--"/>
    <m:smallFrac m:val="0"/>
    <m:dispDef/>
    <m:lMargin m:val="0"/>
    <m:rMargin m:val="0"/>
    <m:defJc m:val="centerGroup"/>
    <m:wrapIndent m:val="1440"/>
    <m:intLim m:val="subSup"/>
    <m:naryLim m:val="undOvr"/>
  </m:mathPr>
  <w:themeFontLang w:val="pl-P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760D9"/>
  <w15:docId w15:val="{B68DA630-C9BA-439A-AAC7-81E9F4F44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425"/>
  </w:style>
  <w:style w:type="paragraph" w:styleId="Heading1">
    <w:name w:val="heading 1"/>
    <w:basedOn w:val="Normal"/>
    <w:next w:val="Normal"/>
    <w:link w:val="Heading1Char"/>
    <w:uiPriority w:val="9"/>
    <w:qFormat/>
    <w:rsid w:val="00D45F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45F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45F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5F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5F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5F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5F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5F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5F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F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45F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45F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5F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5F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5F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5F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5F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5FCE"/>
    <w:rPr>
      <w:rFonts w:eastAsiaTheme="majorEastAsia" w:cstheme="majorBidi"/>
      <w:color w:val="272727" w:themeColor="text1" w:themeTint="D8"/>
    </w:rPr>
  </w:style>
  <w:style w:type="paragraph" w:styleId="Title">
    <w:name w:val="Title"/>
    <w:basedOn w:val="Normal"/>
    <w:next w:val="Normal"/>
    <w:link w:val="TitleChar"/>
    <w:uiPriority w:val="10"/>
    <w:qFormat/>
    <w:rsid w:val="00D45F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5F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5F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5F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5FCE"/>
    <w:pPr>
      <w:spacing w:before="160"/>
      <w:jc w:val="center"/>
    </w:pPr>
    <w:rPr>
      <w:i/>
      <w:iCs/>
      <w:color w:val="404040" w:themeColor="text1" w:themeTint="BF"/>
    </w:rPr>
  </w:style>
  <w:style w:type="character" w:customStyle="1" w:styleId="QuoteChar">
    <w:name w:val="Quote Char"/>
    <w:basedOn w:val="DefaultParagraphFont"/>
    <w:link w:val="Quote"/>
    <w:uiPriority w:val="29"/>
    <w:rsid w:val="00D45FCE"/>
    <w:rPr>
      <w:i/>
      <w:iCs/>
      <w:color w:val="404040" w:themeColor="text1" w:themeTint="BF"/>
    </w:rPr>
  </w:style>
  <w:style w:type="paragraph" w:styleId="ListParagraph">
    <w:name w:val="List Paragraph"/>
    <w:basedOn w:val="Normal"/>
    <w:uiPriority w:val="34"/>
    <w:qFormat/>
    <w:rsid w:val="00D45FCE"/>
    <w:pPr>
      <w:ind w:left="720"/>
      <w:contextualSpacing/>
    </w:pPr>
  </w:style>
  <w:style w:type="character" w:styleId="IntenseEmphasis">
    <w:name w:val="Intense Emphasis"/>
    <w:basedOn w:val="DefaultParagraphFont"/>
    <w:uiPriority w:val="21"/>
    <w:qFormat/>
    <w:rsid w:val="00D45FCE"/>
    <w:rPr>
      <w:i/>
      <w:iCs/>
      <w:color w:val="0F4761" w:themeColor="accent1" w:themeShade="BF"/>
    </w:rPr>
  </w:style>
  <w:style w:type="paragraph" w:styleId="IntenseQuote">
    <w:name w:val="Intense Quote"/>
    <w:basedOn w:val="Normal"/>
    <w:next w:val="Normal"/>
    <w:link w:val="IntenseQuoteChar"/>
    <w:uiPriority w:val="30"/>
    <w:qFormat/>
    <w:rsid w:val="00D45F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5FCE"/>
    <w:rPr>
      <w:i/>
      <w:iCs/>
      <w:color w:val="0F4761" w:themeColor="accent1" w:themeShade="BF"/>
    </w:rPr>
  </w:style>
  <w:style w:type="character" w:styleId="IntenseReference">
    <w:name w:val="Intense Reference"/>
    <w:basedOn w:val="DefaultParagraphFont"/>
    <w:uiPriority w:val="32"/>
    <w:qFormat/>
    <w:rsid w:val="00D45FCE"/>
    <w:rPr>
      <w:b/>
      <w:bCs/>
      <w:smallCaps/>
      <w:color w:val="0F4761" w:themeColor="accent1" w:themeShade="BF"/>
      <w:spacing w:val="5"/>
    </w:rPr>
  </w:style>
  <w:style w:type="paragraph" w:styleId="Header">
    <w:name w:val="header"/>
    <w:basedOn w:val="Normal"/>
    <w:link w:val="HeaderChar"/>
    <w:uiPriority w:val="99"/>
    <w:unhideWhenUsed/>
    <w:rsid w:val="00D45FCE"/>
    <w:pPr>
      <w:tabs>
        <w:tab w:val="center" w:pos="4252"/>
        <w:tab w:val="right" w:pos="8504"/>
      </w:tabs>
      <w:spacing w:after="0" w:line="240" w:lineRule="auto"/>
    </w:pPr>
  </w:style>
  <w:style w:type="character" w:customStyle="1" w:styleId="HeaderChar">
    <w:name w:val="Header Char"/>
    <w:basedOn w:val="DefaultParagraphFont"/>
    <w:link w:val="Header"/>
    <w:uiPriority w:val="99"/>
    <w:rsid w:val="00D45FCE"/>
  </w:style>
  <w:style w:type="paragraph" w:styleId="Footer">
    <w:name w:val="footer"/>
    <w:basedOn w:val="Normal"/>
    <w:link w:val="FooterChar"/>
    <w:uiPriority w:val="99"/>
    <w:unhideWhenUsed/>
    <w:rsid w:val="00D45FCE"/>
    <w:pPr>
      <w:tabs>
        <w:tab w:val="center" w:pos="4252"/>
        <w:tab w:val="right" w:pos="8504"/>
      </w:tabs>
      <w:spacing w:after="0" w:line="240" w:lineRule="auto"/>
    </w:pPr>
  </w:style>
  <w:style w:type="character" w:customStyle="1" w:styleId="FooterChar">
    <w:name w:val="Footer Char"/>
    <w:basedOn w:val="DefaultParagraphFont"/>
    <w:link w:val="Footer"/>
    <w:uiPriority w:val="99"/>
    <w:rsid w:val="00D45FCE"/>
  </w:style>
  <w:style w:type="table" w:styleId="TableGrid">
    <w:name w:val="Table Grid"/>
    <w:basedOn w:val="TableNormal"/>
    <w:uiPriority w:val="39"/>
    <w:rsid w:val="00AD6E49"/>
    <w:pPr>
      <w:spacing w:after="0" w:line="240" w:lineRule="auto"/>
    </w:pPr>
    <w:rPr>
      <w:kern w:val="0"/>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6E49"/>
    <w:rPr>
      <w:color w:val="0000FF"/>
      <w:u w:val="single"/>
    </w:rPr>
  </w:style>
  <w:style w:type="character" w:styleId="UnresolvedMention">
    <w:name w:val="Unresolved Mention"/>
    <w:basedOn w:val="DefaultParagraphFont"/>
    <w:uiPriority w:val="99"/>
    <w:semiHidden/>
    <w:unhideWhenUsed/>
    <w:rsid w:val="002834EC"/>
    <w:rPr>
      <w:color w:val="605E5C"/>
      <w:shd w:val="clear" w:color="auto" w:fill="E1DFDD"/>
    </w:rPr>
  </w:style>
  <w:style w:type="paragraph" w:styleId="NormalWeb">
    <w:name w:val="Normal (Web)"/>
    <w:basedOn w:val="Normal"/>
    <w:uiPriority w:val="99"/>
    <w:semiHidden/>
    <w:unhideWhenUsed/>
    <w:rsid w:val="003B4948"/>
    <w:pPr>
      <w:spacing w:before="100" w:beforeAutospacing="1" w:after="100" w:afterAutospacing="1" w:line="240" w:lineRule="auto"/>
    </w:pPr>
    <w:rPr>
      <w:rFonts w:ascii="Times New Roman" w:eastAsia="Times New Roman" w:hAnsi="Times New Roman" w:cs="Times New Roman"/>
      <w:kern w:val="0"/>
      <w:sz w:val="24"/>
      <w:szCs w:val="24"/>
      <w:lang w:val="pl-PL" w:eastAsia="pl-PL"/>
    </w:rPr>
  </w:style>
  <w:style w:type="character" w:styleId="FollowedHyperlink">
    <w:name w:val="FollowedHyperlink"/>
    <w:basedOn w:val="DefaultParagraphFont"/>
    <w:uiPriority w:val="99"/>
    <w:semiHidden/>
    <w:unhideWhenUsed/>
    <w:rsid w:val="005F70A0"/>
    <w:rPr>
      <w:color w:val="96607D" w:themeColor="followedHyperlink"/>
      <w:u w:val="single"/>
    </w:rPr>
  </w:style>
  <w:style w:type="paragraph" w:styleId="EndnoteText">
    <w:name w:val="endnote text"/>
    <w:basedOn w:val="Normal"/>
    <w:link w:val="EndnoteTextChar"/>
    <w:uiPriority w:val="99"/>
    <w:semiHidden/>
    <w:unhideWhenUsed/>
    <w:rsid w:val="00B929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292D"/>
    <w:rPr>
      <w:sz w:val="20"/>
      <w:szCs w:val="20"/>
    </w:rPr>
  </w:style>
  <w:style w:type="character" w:styleId="EndnoteReference">
    <w:name w:val="endnote reference"/>
    <w:basedOn w:val="DefaultParagraphFont"/>
    <w:uiPriority w:val="99"/>
    <w:semiHidden/>
    <w:unhideWhenUsed/>
    <w:rsid w:val="00B9292D"/>
    <w:rPr>
      <w:vertAlign w:val="superscript"/>
    </w:rPr>
  </w:style>
  <w:style w:type="character" w:styleId="CommentReference">
    <w:name w:val="annotation reference"/>
    <w:basedOn w:val="DefaultParagraphFont"/>
    <w:uiPriority w:val="99"/>
    <w:semiHidden/>
    <w:unhideWhenUsed/>
    <w:rsid w:val="003222BB"/>
    <w:rPr>
      <w:sz w:val="16"/>
      <w:szCs w:val="16"/>
    </w:rPr>
  </w:style>
  <w:style w:type="paragraph" w:styleId="CommentText">
    <w:name w:val="annotation text"/>
    <w:basedOn w:val="Normal"/>
    <w:link w:val="CommentTextChar"/>
    <w:uiPriority w:val="99"/>
    <w:unhideWhenUsed/>
    <w:rsid w:val="003222BB"/>
    <w:pPr>
      <w:spacing w:line="240" w:lineRule="auto"/>
    </w:pPr>
    <w:rPr>
      <w:sz w:val="20"/>
      <w:szCs w:val="20"/>
    </w:rPr>
  </w:style>
  <w:style w:type="character" w:customStyle="1" w:styleId="CommentTextChar">
    <w:name w:val="Comment Text Char"/>
    <w:basedOn w:val="DefaultParagraphFont"/>
    <w:link w:val="CommentText"/>
    <w:uiPriority w:val="99"/>
    <w:rsid w:val="003222BB"/>
    <w:rPr>
      <w:sz w:val="20"/>
      <w:szCs w:val="20"/>
    </w:rPr>
  </w:style>
  <w:style w:type="paragraph" w:styleId="CommentSubject">
    <w:name w:val="annotation subject"/>
    <w:basedOn w:val="CommentText"/>
    <w:next w:val="CommentText"/>
    <w:link w:val="CommentSubjectChar"/>
    <w:uiPriority w:val="99"/>
    <w:semiHidden/>
    <w:unhideWhenUsed/>
    <w:rsid w:val="003222BB"/>
    <w:rPr>
      <w:b/>
      <w:bCs/>
    </w:rPr>
  </w:style>
  <w:style w:type="character" w:customStyle="1" w:styleId="CommentSubjectChar">
    <w:name w:val="Comment Subject Char"/>
    <w:basedOn w:val="CommentTextChar"/>
    <w:link w:val="CommentSubject"/>
    <w:uiPriority w:val="99"/>
    <w:semiHidden/>
    <w:rsid w:val="003222BB"/>
    <w:rPr>
      <w:b/>
      <w:bCs/>
      <w:sz w:val="20"/>
      <w:szCs w:val="20"/>
    </w:rPr>
  </w:style>
  <w:style w:type="paragraph" w:styleId="BalloonText">
    <w:name w:val="Balloon Text"/>
    <w:basedOn w:val="Normal"/>
    <w:link w:val="BalloonTextChar"/>
    <w:uiPriority w:val="99"/>
    <w:semiHidden/>
    <w:unhideWhenUsed/>
    <w:rsid w:val="003222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2BB"/>
    <w:rPr>
      <w:rFonts w:ascii="Segoe UI" w:hAnsi="Segoe UI" w:cs="Segoe UI"/>
      <w:sz w:val="18"/>
      <w:szCs w:val="18"/>
    </w:rPr>
  </w:style>
  <w:style w:type="paragraph" w:styleId="Revision">
    <w:name w:val="Revision"/>
    <w:hidden/>
    <w:uiPriority w:val="99"/>
    <w:semiHidden/>
    <w:rsid w:val="00CE2639"/>
    <w:pPr>
      <w:spacing w:after="0" w:line="240" w:lineRule="auto"/>
    </w:pPr>
  </w:style>
  <w:style w:type="character" w:styleId="Emphasis">
    <w:name w:val="Emphasis"/>
    <w:basedOn w:val="DefaultParagraphFont"/>
    <w:uiPriority w:val="20"/>
    <w:qFormat/>
    <w:rsid w:val="00A808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997352">
      <w:bodyDiv w:val="1"/>
      <w:marLeft w:val="0"/>
      <w:marRight w:val="0"/>
      <w:marTop w:val="0"/>
      <w:marBottom w:val="0"/>
      <w:divBdr>
        <w:top w:val="none" w:sz="0" w:space="0" w:color="auto"/>
        <w:left w:val="none" w:sz="0" w:space="0" w:color="auto"/>
        <w:bottom w:val="none" w:sz="0" w:space="0" w:color="auto"/>
        <w:right w:val="none" w:sz="0" w:space="0" w:color="auto"/>
      </w:divBdr>
      <w:divsChild>
        <w:div w:id="1305309592">
          <w:marLeft w:val="0"/>
          <w:marRight w:val="0"/>
          <w:marTop w:val="240"/>
          <w:marBottom w:val="240"/>
          <w:divBdr>
            <w:top w:val="none" w:sz="0" w:space="0" w:color="auto"/>
            <w:left w:val="none" w:sz="0" w:space="0" w:color="auto"/>
            <w:bottom w:val="none" w:sz="0" w:space="0" w:color="auto"/>
            <w:right w:val="none" w:sz="0" w:space="0" w:color="auto"/>
          </w:divBdr>
        </w:div>
        <w:div w:id="1849445323">
          <w:marLeft w:val="0"/>
          <w:marRight w:val="0"/>
          <w:marTop w:val="240"/>
          <w:marBottom w:val="240"/>
          <w:divBdr>
            <w:top w:val="none" w:sz="0" w:space="0" w:color="auto"/>
            <w:left w:val="none" w:sz="0" w:space="0" w:color="auto"/>
            <w:bottom w:val="none" w:sz="0" w:space="0" w:color="auto"/>
            <w:right w:val="none" w:sz="0" w:space="0" w:color="auto"/>
          </w:divBdr>
        </w:div>
        <w:div w:id="1177381033">
          <w:marLeft w:val="0"/>
          <w:marRight w:val="0"/>
          <w:marTop w:val="240"/>
          <w:marBottom w:val="240"/>
          <w:divBdr>
            <w:top w:val="none" w:sz="0" w:space="0" w:color="auto"/>
            <w:left w:val="none" w:sz="0" w:space="0" w:color="auto"/>
            <w:bottom w:val="none" w:sz="0" w:space="0" w:color="auto"/>
            <w:right w:val="none" w:sz="0" w:space="0" w:color="auto"/>
          </w:divBdr>
        </w:div>
        <w:div w:id="1199665017">
          <w:marLeft w:val="0"/>
          <w:marRight w:val="0"/>
          <w:marTop w:val="240"/>
          <w:marBottom w:val="240"/>
          <w:divBdr>
            <w:top w:val="none" w:sz="0" w:space="0" w:color="auto"/>
            <w:left w:val="none" w:sz="0" w:space="0" w:color="auto"/>
            <w:bottom w:val="none" w:sz="0" w:space="0" w:color="auto"/>
            <w:right w:val="none" w:sz="0" w:space="0" w:color="auto"/>
          </w:divBdr>
        </w:div>
        <w:div w:id="478769567">
          <w:marLeft w:val="0"/>
          <w:marRight w:val="0"/>
          <w:marTop w:val="240"/>
          <w:marBottom w:val="240"/>
          <w:divBdr>
            <w:top w:val="none" w:sz="0" w:space="0" w:color="auto"/>
            <w:left w:val="none" w:sz="0" w:space="0" w:color="auto"/>
            <w:bottom w:val="none" w:sz="0" w:space="0" w:color="auto"/>
            <w:right w:val="none" w:sz="0" w:space="0" w:color="auto"/>
          </w:divBdr>
        </w:div>
        <w:div w:id="2096780357">
          <w:marLeft w:val="0"/>
          <w:marRight w:val="0"/>
          <w:marTop w:val="240"/>
          <w:marBottom w:val="240"/>
          <w:divBdr>
            <w:top w:val="none" w:sz="0" w:space="0" w:color="auto"/>
            <w:left w:val="none" w:sz="0" w:space="0" w:color="auto"/>
            <w:bottom w:val="none" w:sz="0" w:space="0" w:color="auto"/>
            <w:right w:val="none" w:sz="0" w:space="0" w:color="auto"/>
          </w:divBdr>
        </w:div>
        <w:div w:id="2106342159">
          <w:marLeft w:val="0"/>
          <w:marRight w:val="0"/>
          <w:marTop w:val="240"/>
          <w:marBottom w:val="240"/>
          <w:divBdr>
            <w:top w:val="none" w:sz="0" w:space="0" w:color="auto"/>
            <w:left w:val="none" w:sz="0" w:space="0" w:color="auto"/>
            <w:bottom w:val="none" w:sz="0" w:space="0" w:color="auto"/>
            <w:right w:val="none" w:sz="0" w:space="0" w:color="auto"/>
          </w:divBdr>
        </w:div>
        <w:div w:id="1274020172">
          <w:marLeft w:val="0"/>
          <w:marRight w:val="0"/>
          <w:marTop w:val="240"/>
          <w:marBottom w:val="240"/>
          <w:divBdr>
            <w:top w:val="none" w:sz="0" w:space="0" w:color="auto"/>
            <w:left w:val="none" w:sz="0" w:space="0" w:color="auto"/>
            <w:bottom w:val="none" w:sz="0" w:space="0" w:color="auto"/>
            <w:right w:val="none" w:sz="0" w:space="0" w:color="auto"/>
          </w:divBdr>
        </w:div>
        <w:div w:id="1492479507">
          <w:marLeft w:val="0"/>
          <w:marRight w:val="0"/>
          <w:marTop w:val="240"/>
          <w:marBottom w:val="240"/>
          <w:divBdr>
            <w:top w:val="none" w:sz="0" w:space="0" w:color="auto"/>
            <w:left w:val="none" w:sz="0" w:space="0" w:color="auto"/>
            <w:bottom w:val="none" w:sz="0" w:space="0" w:color="auto"/>
            <w:right w:val="none" w:sz="0" w:space="0" w:color="auto"/>
          </w:divBdr>
        </w:div>
        <w:div w:id="36273026">
          <w:marLeft w:val="0"/>
          <w:marRight w:val="0"/>
          <w:marTop w:val="240"/>
          <w:marBottom w:val="240"/>
          <w:divBdr>
            <w:top w:val="none" w:sz="0" w:space="0" w:color="auto"/>
            <w:left w:val="none" w:sz="0" w:space="0" w:color="auto"/>
            <w:bottom w:val="none" w:sz="0" w:space="0" w:color="auto"/>
            <w:right w:val="none" w:sz="0" w:space="0" w:color="auto"/>
          </w:divBdr>
        </w:div>
        <w:div w:id="1435443931">
          <w:marLeft w:val="0"/>
          <w:marRight w:val="0"/>
          <w:marTop w:val="240"/>
          <w:marBottom w:val="240"/>
          <w:divBdr>
            <w:top w:val="none" w:sz="0" w:space="0" w:color="auto"/>
            <w:left w:val="none" w:sz="0" w:space="0" w:color="auto"/>
            <w:bottom w:val="none" w:sz="0" w:space="0" w:color="auto"/>
            <w:right w:val="none" w:sz="0" w:space="0" w:color="auto"/>
          </w:divBdr>
        </w:div>
        <w:div w:id="1069771035">
          <w:marLeft w:val="0"/>
          <w:marRight w:val="0"/>
          <w:marTop w:val="240"/>
          <w:marBottom w:val="240"/>
          <w:divBdr>
            <w:top w:val="none" w:sz="0" w:space="0" w:color="auto"/>
            <w:left w:val="none" w:sz="0" w:space="0" w:color="auto"/>
            <w:bottom w:val="none" w:sz="0" w:space="0" w:color="auto"/>
            <w:right w:val="none" w:sz="0" w:space="0" w:color="auto"/>
          </w:divBdr>
        </w:div>
        <w:div w:id="1207332433">
          <w:marLeft w:val="0"/>
          <w:marRight w:val="0"/>
          <w:marTop w:val="240"/>
          <w:marBottom w:val="240"/>
          <w:divBdr>
            <w:top w:val="none" w:sz="0" w:space="0" w:color="auto"/>
            <w:left w:val="none" w:sz="0" w:space="0" w:color="auto"/>
            <w:bottom w:val="none" w:sz="0" w:space="0" w:color="auto"/>
            <w:right w:val="none" w:sz="0" w:space="0" w:color="auto"/>
          </w:divBdr>
        </w:div>
        <w:div w:id="1428113457">
          <w:marLeft w:val="0"/>
          <w:marRight w:val="0"/>
          <w:marTop w:val="240"/>
          <w:marBottom w:val="240"/>
          <w:divBdr>
            <w:top w:val="none" w:sz="0" w:space="0" w:color="auto"/>
            <w:left w:val="none" w:sz="0" w:space="0" w:color="auto"/>
            <w:bottom w:val="none" w:sz="0" w:space="0" w:color="auto"/>
            <w:right w:val="none" w:sz="0" w:space="0" w:color="auto"/>
          </w:divBdr>
        </w:div>
        <w:div w:id="512114828">
          <w:marLeft w:val="0"/>
          <w:marRight w:val="0"/>
          <w:marTop w:val="240"/>
          <w:marBottom w:val="240"/>
          <w:divBdr>
            <w:top w:val="none" w:sz="0" w:space="0" w:color="auto"/>
            <w:left w:val="none" w:sz="0" w:space="0" w:color="auto"/>
            <w:bottom w:val="none" w:sz="0" w:space="0" w:color="auto"/>
            <w:right w:val="none" w:sz="0" w:space="0" w:color="auto"/>
          </w:divBdr>
        </w:div>
        <w:div w:id="1683168204">
          <w:marLeft w:val="0"/>
          <w:marRight w:val="0"/>
          <w:marTop w:val="240"/>
          <w:marBottom w:val="240"/>
          <w:divBdr>
            <w:top w:val="none" w:sz="0" w:space="0" w:color="auto"/>
            <w:left w:val="none" w:sz="0" w:space="0" w:color="auto"/>
            <w:bottom w:val="none" w:sz="0" w:space="0" w:color="auto"/>
            <w:right w:val="none" w:sz="0" w:space="0" w:color="auto"/>
          </w:divBdr>
        </w:div>
        <w:div w:id="1979410749">
          <w:marLeft w:val="0"/>
          <w:marRight w:val="0"/>
          <w:marTop w:val="240"/>
          <w:marBottom w:val="240"/>
          <w:divBdr>
            <w:top w:val="none" w:sz="0" w:space="0" w:color="auto"/>
            <w:left w:val="none" w:sz="0" w:space="0" w:color="auto"/>
            <w:bottom w:val="none" w:sz="0" w:space="0" w:color="auto"/>
            <w:right w:val="none" w:sz="0" w:space="0" w:color="auto"/>
          </w:divBdr>
        </w:div>
        <w:div w:id="2069067341">
          <w:marLeft w:val="0"/>
          <w:marRight w:val="0"/>
          <w:marTop w:val="240"/>
          <w:marBottom w:val="240"/>
          <w:divBdr>
            <w:top w:val="none" w:sz="0" w:space="0" w:color="auto"/>
            <w:left w:val="none" w:sz="0" w:space="0" w:color="auto"/>
            <w:bottom w:val="none" w:sz="0" w:space="0" w:color="auto"/>
            <w:right w:val="none" w:sz="0" w:space="0" w:color="auto"/>
          </w:divBdr>
        </w:div>
        <w:div w:id="336924548">
          <w:marLeft w:val="0"/>
          <w:marRight w:val="0"/>
          <w:marTop w:val="240"/>
          <w:marBottom w:val="240"/>
          <w:divBdr>
            <w:top w:val="none" w:sz="0" w:space="0" w:color="auto"/>
            <w:left w:val="none" w:sz="0" w:space="0" w:color="auto"/>
            <w:bottom w:val="none" w:sz="0" w:space="0" w:color="auto"/>
            <w:right w:val="none" w:sz="0" w:space="0" w:color="auto"/>
          </w:divBdr>
        </w:div>
        <w:div w:id="1252466446">
          <w:marLeft w:val="0"/>
          <w:marRight w:val="0"/>
          <w:marTop w:val="240"/>
          <w:marBottom w:val="240"/>
          <w:divBdr>
            <w:top w:val="none" w:sz="0" w:space="0" w:color="auto"/>
            <w:left w:val="none" w:sz="0" w:space="0" w:color="auto"/>
            <w:bottom w:val="none" w:sz="0" w:space="0" w:color="auto"/>
            <w:right w:val="none" w:sz="0" w:space="0" w:color="auto"/>
          </w:divBdr>
        </w:div>
        <w:div w:id="1516311873">
          <w:marLeft w:val="0"/>
          <w:marRight w:val="0"/>
          <w:marTop w:val="240"/>
          <w:marBottom w:val="240"/>
          <w:divBdr>
            <w:top w:val="none" w:sz="0" w:space="0" w:color="auto"/>
            <w:left w:val="none" w:sz="0" w:space="0" w:color="auto"/>
            <w:bottom w:val="none" w:sz="0" w:space="0" w:color="auto"/>
            <w:right w:val="none" w:sz="0" w:space="0" w:color="auto"/>
          </w:divBdr>
        </w:div>
        <w:div w:id="1675957274">
          <w:marLeft w:val="0"/>
          <w:marRight w:val="0"/>
          <w:marTop w:val="240"/>
          <w:marBottom w:val="240"/>
          <w:divBdr>
            <w:top w:val="none" w:sz="0" w:space="0" w:color="auto"/>
            <w:left w:val="none" w:sz="0" w:space="0" w:color="auto"/>
            <w:bottom w:val="none" w:sz="0" w:space="0" w:color="auto"/>
            <w:right w:val="none" w:sz="0" w:space="0" w:color="auto"/>
          </w:divBdr>
        </w:div>
        <w:div w:id="1156603138">
          <w:marLeft w:val="0"/>
          <w:marRight w:val="0"/>
          <w:marTop w:val="240"/>
          <w:marBottom w:val="240"/>
          <w:divBdr>
            <w:top w:val="none" w:sz="0" w:space="0" w:color="auto"/>
            <w:left w:val="none" w:sz="0" w:space="0" w:color="auto"/>
            <w:bottom w:val="none" w:sz="0" w:space="0" w:color="auto"/>
            <w:right w:val="none" w:sz="0" w:space="0" w:color="auto"/>
          </w:divBdr>
        </w:div>
        <w:div w:id="770734877">
          <w:marLeft w:val="0"/>
          <w:marRight w:val="0"/>
          <w:marTop w:val="240"/>
          <w:marBottom w:val="240"/>
          <w:divBdr>
            <w:top w:val="none" w:sz="0" w:space="0" w:color="auto"/>
            <w:left w:val="none" w:sz="0" w:space="0" w:color="auto"/>
            <w:bottom w:val="none" w:sz="0" w:space="0" w:color="auto"/>
            <w:right w:val="none" w:sz="0" w:space="0" w:color="auto"/>
          </w:divBdr>
        </w:div>
        <w:div w:id="1109352611">
          <w:marLeft w:val="0"/>
          <w:marRight w:val="0"/>
          <w:marTop w:val="240"/>
          <w:marBottom w:val="240"/>
          <w:divBdr>
            <w:top w:val="none" w:sz="0" w:space="0" w:color="auto"/>
            <w:left w:val="none" w:sz="0" w:space="0" w:color="auto"/>
            <w:bottom w:val="none" w:sz="0" w:space="0" w:color="auto"/>
            <w:right w:val="none" w:sz="0" w:space="0" w:color="auto"/>
          </w:divBdr>
        </w:div>
        <w:div w:id="1622762177">
          <w:marLeft w:val="0"/>
          <w:marRight w:val="0"/>
          <w:marTop w:val="240"/>
          <w:marBottom w:val="240"/>
          <w:divBdr>
            <w:top w:val="none" w:sz="0" w:space="0" w:color="auto"/>
            <w:left w:val="none" w:sz="0" w:space="0" w:color="auto"/>
            <w:bottom w:val="none" w:sz="0" w:space="0" w:color="auto"/>
            <w:right w:val="none" w:sz="0" w:space="0" w:color="auto"/>
          </w:divBdr>
        </w:div>
      </w:divsChild>
    </w:div>
    <w:div w:id="844591377">
      <w:bodyDiv w:val="1"/>
      <w:marLeft w:val="0"/>
      <w:marRight w:val="0"/>
      <w:marTop w:val="0"/>
      <w:marBottom w:val="0"/>
      <w:divBdr>
        <w:top w:val="none" w:sz="0" w:space="0" w:color="auto"/>
        <w:left w:val="none" w:sz="0" w:space="0" w:color="auto"/>
        <w:bottom w:val="none" w:sz="0" w:space="0" w:color="auto"/>
        <w:right w:val="none" w:sz="0" w:space="0" w:color="auto"/>
      </w:divBdr>
    </w:div>
    <w:div w:id="1632202558">
      <w:bodyDiv w:val="1"/>
      <w:marLeft w:val="0"/>
      <w:marRight w:val="0"/>
      <w:marTop w:val="0"/>
      <w:marBottom w:val="0"/>
      <w:divBdr>
        <w:top w:val="none" w:sz="0" w:space="0" w:color="auto"/>
        <w:left w:val="none" w:sz="0" w:space="0" w:color="auto"/>
        <w:bottom w:val="none" w:sz="0" w:space="0" w:color="auto"/>
        <w:right w:val="none" w:sz="0" w:space="0" w:color="auto"/>
      </w:divBdr>
      <w:divsChild>
        <w:div w:id="1703438126">
          <w:marLeft w:val="0"/>
          <w:marRight w:val="0"/>
          <w:marTop w:val="240"/>
          <w:marBottom w:val="240"/>
          <w:divBdr>
            <w:top w:val="none" w:sz="0" w:space="0" w:color="auto"/>
            <w:left w:val="none" w:sz="0" w:space="0" w:color="auto"/>
            <w:bottom w:val="none" w:sz="0" w:space="0" w:color="auto"/>
            <w:right w:val="none" w:sz="0" w:space="0" w:color="auto"/>
          </w:divBdr>
        </w:div>
        <w:div w:id="1852598321">
          <w:marLeft w:val="0"/>
          <w:marRight w:val="0"/>
          <w:marTop w:val="240"/>
          <w:marBottom w:val="240"/>
          <w:divBdr>
            <w:top w:val="none" w:sz="0" w:space="0" w:color="auto"/>
            <w:left w:val="none" w:sz="0" w:space="0" w:color="auto"/>
            <w:bottom w:val="none" w:sz="0" w:space="0" w:color="auto"/>
            <w:right w:val="none" w:sz="0" w:space="0" w:color="auto"/>
          </w:divBdr>
        </w:div>
        <w:div w:id="1186746272">
          <w:marLeft w:val="0"/>
          <w:marRight w:val="0"/>
          <w:marTop w:val="240"/>
          <w:marBottom w:val="240"/>
          <w:divBdr>
            <w:top w:val="none" w:sz="0" w:space="0" w:color="auto"/>
            <w:left w:val="none" w:sz="0" w:space="0" w:color="auto"/>
            <w:bottom w:val="none" w:sz="0" w:space="0" w:color="auto"/>
            <w:right w:val="none" w:sz="0" w:space="0" w:color="auto"/>
          </w:divBdr>
        </w:div>
        <w:div w:id="1502310922">
          <w:marLeft w:val="0"/>
          <w:marRight w:val="0"/>
          <w:marTop w:val="240"/>
          <w:marBottom w:val="240"/>
          <w:divBdr>
            <w:top w:val="none" w:sz="0" w:space="0" w:color="auto"/>
            <w:left w:val="none" w:sz="0" w:space="0" w:color="auto"/>
            <w:bottom w:val="none" w:sz="0" w:space="0" w:color="auto"/>
            <w:right w:val="none" w:sz="0" w:space="0" w:color="auto"/>
          </w:divBdr>
        </w:div>
        <w:div w:id="104929514">
          <w:marLeft w:val="0"/>
          <w:marRight w:val="0"/>
          <w:marTop w:val="240"/>
          <w:marBottom w:val="240"/>
          <w:divBdr>
            <w:top w:val="none" w:sz="0" w:space="0" w:color="auto"/>
            <w:left w:val="none" w:sz="0" w:space="0" w:color="auto"/>
            <w:bottom w:val="none" w:sz="0" w:space="0" w:color="auto"/>
            <w:right w:val="none" w:sz="0" w:space="0" w:color="auto"/>
          </w:divBdr>
        </w:div>
        <w:div w:id="1641304410">
          <w:marLeft w:val="0"/>
          <w:marRight w:val="0"/>
          <w:marTop w:val="240"/>
          <w:marBottom w:val="240"/>
          <w:divBdr>
            <w:top w:val="none" w:sz="0" w:space="0" w:color="auto"/>
            <w:left w:val="none" w:sz="0" w:space="0" w:color="auto"/>
            <w:bottom w:val="none" w:sz="0" w:space="0" w:color="auto"/>
            <w:right w:val="none" w:sz="0" w:space="0" w:color="auto"/>
          </w:divBdr>
        </w:div>
        <w:div w:id="33817385">
          <w:marLeft w:val="0"/>
          <w:marRight w:val="0"/>
          <w:marTop w:val="240"/>
          <w:marBottom w:val="240"/>
          <w:divBdr>
            <w:top w:val="none" w:sz="0" w:space="0" w:color="auto"/>
            <w:left w:val="none" w:sz="0" w:space="0" w:color="auto"/>
            <w:bottom w:val="none" w:sz="0" w:space="0" w:color="auto"/>
            <w:right w:val="none" w:sz="0" w:space="0" w:color="auto"/>
          </w:divBdr>
        </w:div>
        <w:div w:id="833959627">
          <w:marLeft w:val="0"/>
          <w:marRight w:val="0"/>
          <w:marTop w:val="240"/>
          <w:marBottom w:val="240"/>
          <w:divBdr>
            <w:top w:val="none" w:sz="0" w:space="0" w:color="auto"/>
            <w:left w:val="none" w:sz="0" w:space="0" w:color="auto"/>
            <w:bottom w:val="none" w:sz="0" w:space="0" w:color="auto"/>
            <w:right w:val="none" w:sz="0" w:space="0" w:color="auto"/>
          </w:divBdr>
        </w:div>
        <w:div w:id="699086555">
          <w:marLeft w:val="0"/>
          <w:marRight w:val="0"/>
          <w:marTop w:val="240"/>
          <w:marBottom w:val="240"/>
          <w:divBdr>
            <w:top w:val="none" w:sz="0" w:space="0" w:color="auto"/>
            <w:left w:val="none" w:sz="0" w:space="0" w:color="auto"/>
            <w:bottom w:val="none" w:sz="0" w:space="0" w:color="auto"/>
            <w:right w:val="none" w:sz="0" w:space="0" w:color="auto"/>
          </w:divBdr>
        </w:div>
        <w:div w:id="2020501163">
          <w:marLeft w:val="0"/>
          <w:marRight w:val="0"/>
          <w:marTop w:val="240"/>
          <w:marBottom w:val="240"/>
          <w:divBdr>
            <w:top w:val="none" w:sz="0" w:space="0" w:color="auto"/>
            <w:left w:val="none" w:sz="0" w:space="0" w:color="auto"/>
            <w:bottom w:val="none" w:sz="0" w:space="0" w:color="auto"/>
            <w:right w:val="none" w:sz="0" w:space="0" w:color="auto"/>
          </w:divBdr>
        </w:div>
        <w:div w:id="1157460071">
          <w:marLeft w:val="0"/>
          <w:marRight w:val="0"/>
          <w:marTop w:val="240"/>
          <w:marBottom w:val="240"/>
          <w:divBdr>
            <w:top w:val="none" w:sz="0" w:space="0" w:color="auto"/>
            <w:left w:val="none" w:sz="0" w:space="0" w:color="auto"/>
            <w:bottom w:val="none" w:sz="0" w:space="0" w:color="auto"/>
            <w:right w:val="none" w:sz="0" w:space="0" w:color="auto"/>
          </w:divBdr>
        </w:div>
        <w:div w:id="1083532624">
          <w:marLeft w:val="0"/>
          <w:marRight w:val="0"/>
          <w:marTop w:val="240"/>
          <w:marBottom w:val="240"/>
          <w:divBdr>
            <w:top w:val="none" w:sz="0" w:space="0" w:color="auto"/>
            <w:left w:val="none" w:sz="0" w:space="0" w:color="auto"/>
            <w:bottom w:val="none" w:sz="0" w:space="0" w:color="auto"/>
            <w:right w:val="none" w:sz="0" w:space="0" w:color="auto"/>
          </w:divBdr>
        </w:div>
        <w:div w:id="1384254044">
          <w:marLeft w:val="0"/>
          <w:marRight w:val="0"/>
          <w:marTop w:val="240"/>
          <w:marBottom w:val="240"/>
          <w:divBdr>
            <w:top w:val="none" w:sz="0" w:space="0" w:color="auto"/>
            <w:left w:val="none" w:sz="0" w:space="0" w:color="auto"/>
            <w:bottom w:val="none" w:sz="0" w:space="0" w:color="auto"/>
            <w:right w:val="none" w:sz="0" w:space="0" w:color="auto"/>
          </w:divBdr>
        </w:div>
        <w:div w:id="157354318">
          <w:marLeft w:val="0"/>
          <w:marRight w:val="0"/>
          <w:marTop w:val="240"/>
          <w:marBottom w:val="240"/>
          <w:divBdr>
            <w:top w:val="none" w:sz="0" w:space="0" w:color="auto"/>
            <w:left w:val="none" w:sz="0" w:space="0" w:color="auto"/>
            <w:bottom w:val="none" w:sz="0" w:space="0" w:color="auto"/>
            <w:right w:val="none" w:sz="0" w:space="0" w:color="auto"/>
          </w:divBdr>
        </w:div>
        <w:div w:id="1879851028">
          <w:marLeft w:val="0"/>
          <w:marRight w:val="0"/>
          <w:marTop w:val="240"/>
          <w:marBottom w:val="240"/>
          <w:divBdr>
            <w:top w:val="none" w:sz="0" w:space="0" w:color="auto"/>
            <w:left w:val="none" w:sz="0" w:space="0" w:color="auto"/>
            <w:bottom w:val="none" w:sz="0" w:space="0" w:color="auto"/>
            <w:right w:val="none" w:sz="0" w:space="0" w:color="auto"/>
          </w:divBdr>
        </w:div>
        <w:div w:id="1626809408">
          <w:marLeft w:val="0"/>
          <w:marRight w:val="0"/>
          <w:marTop w:val="240"/>
          <w:marBottom w:val="240"/>
          <w:divBdr>
            <w:top w:val="none" w:sz="0" w:space="0" w:color="auto"/>
            <w:left w:val="none" w:sz="0" w:space="0" w:color="auto"/>
            <w:bottom w:val="none" w:sz="0" w:space="0" w:color="auto"/>
            <w:right w:val="none" w:sz="0" w:space="0" w:color="auto"/>
          </w:divBdr>
        </w:div>
        <w:div w:id="1039822653">
          <w:marLeft w:val="0"/>
          <w:marRight w:val="0"/>
          <w:marTop w:val="240"/>
          <w:marBottom w:val="240"/>
          <w:divBdr>
            <w:top w:val="none" w:sz="0" w:space="0" w:color="auto"/>
            <w:left w:val="none" w:sz="0" w:space="0" w:color="auto"/>
            <w:bottom w:val="none" w:sz="0" w:space="0" w:color="auto"/>
            <w:right w:val="none" w:sz="0" w:space="0" w:color="auto"/>
          </w:divBdr>
        </w:div>
        <w:div w:id="693459422">
          <w:marLeft w:val="0"/>
          <w:marRight w:val="0"/>
          <w:marTop w:val="240"/>
          <w:marBottom w:val="240"/>
          <w:divBdr>
            <w:top w:val="none" w:sz="0" w:space="0" w:color="auto"/>
            <w:left w:val="none" w:sz="0" w:space="0" w:color="auto"/>
            <w:bottom w:val="none" w:sz="0" w:space="0" w:color="auto"/>
            <w:right w:val="none" w:sz="0" w:space="0" w:color="auto"/>
          </w:divBdr>
        </w:div>
        <w:div w:id="977415034">
          <w:marLeft w:val="0"/>
          <w:marRight w:val="0"/>
          <w:marTop w:val="240"/>
          <w:marBottom w:val="240"/>
          <w:divBdr>
            <w:top w:val="none" w:sz="0" w:space="0" w:color="auto"/>
            <w:left w:val="none" w:sz="0" w:space="0" w:color="auto"/>
            <w:bottom w:val="none" w:sz="0" w:space="0" w:color="auto"/>
            <w:right w:val="none" w:sz="0" w:space="0" w:color="auto"/>
          </w:divBdr>
        </w:div>
        <w:div w:id="1837527656">
          <w:marLeft w:val="0"/>
          <w:marRight w:val="0"/>
          <w:marTop w:val="240"/>
          <w:marBottom w:val="240"/>
          <w:divBdr>
            <w:top w:val="none" w:sz="0" w:space="0" w:color="auto"/>
            <w:left w:val="none" w:sz="0" w:space="0" w:color="auto"/>
            <w:bottom w:val="none" w:sz="0" w:space="0" w:color="auto"/>
            <w:right w:val="none" w:sz="0" w:space="0" w:color="auto"/>
          </w:divBdr>
        </w:div>
        <w:div w:id="610936371">
          <w:marLeft w:val="0"/>
          <w:marRight w:val="0"/>
          <w:marTop w:val="240"/>
          <w:marBottom w:val="240"/>
          <w:divBdr>
            <w:top w:val="none" w:sz="0" w:space="0" w:color="auto"/>
            <w:left w:val="none" w:sz="0" w:space="0" w:color="auto"/>
            <w:bottom w:val="none" w:sz="0" w:space="0" w:color="auto"/>
            <w:right w:val="none" w:sz="0" w:space="0" w:color="auto"/>
          </w:divBdr>
        </w:div>
        <w:div w:id="1936327453">
          <w:marLeft w:val="0"/>
          <w:marRight w:val="0"/>
          <w:marTop w:val="240"/>
          <w:marBottom w:val="240"/>
          <w:divBdr>
            <w:top w:val="none" w:sz="0" w:space="0" w:color="auto"/>
            <w:left w:val="none" w:sz="0" w:space="0" w:color="auto"/>
            <w:bottom w:val="none" w:sz="0" w:space="0" w:color="auto"/>
            <w:right w:val="none" w:sz="0" w:space="0" w:color="auto"/>
          </w:divBdr>
        </w:div>
        <w:div w:id="1771663635">
          <w:marLeft w:val="0"/>
          <w:marRight w:val="0"/>
          <w:marTop w:val="240"/>
          <w:marBottom w:val="240"/>
          <w:divBdr>
            <w:top w:val="none" w:sz="0" w:space="0" w:color="auto"/>
            <w:left w:val="none" w:sz="0" w:space="0" w:color="auto"/>
            <w:bottom w:val="none" w:sz="0" w:space="0" w:color="auto"/>
            <w:right w:val="none" w:sz="0" w:space="0" w:color="auto"/>
          </w:divBdr>
        </w:div>
        <w:div w:id="568808480">
          <w:marLeft w:val="0"/>
          <w:marRight w:val="0"/>
          <w:marTop w:val="240"/>
          <w:marBottom w:val="240"/>
          <w:divBdr>
            <w:top w:val="none" w:sz="0" w:space="0" w:color="auto"/>
            <w:left w:val="none" w:sz="0" w:space="0" w:color="auto"/>
            <w:bottom w:val="none" w:sz="0" w:space="0" w:color="auto"/>
            <w:right w:val="none" w:sz="0" w:space="0" w:color="auto"/>
          </w:divBdr>
        </w:div>
        <w:div w:id="1861236659">
          <w:marLeft w:val="0"/>
          <w:marRight w:val="0"/>
          <w:marTop w:val="240"/>
          <w:marBottom w:val="240"/>
          <w:divBdr>
            <w:top w:val="none" w:sz="0" w:space="0" w:color="auto"/>
            <w:left w:val="none" w:sz="0" w:space="0" w:color="auto"/>
            <w:bottom w:val="none" w:sz="0" w:space="0" w:color="auto"/>
            <w:right w:val="none" w:sz="0" w:space="0" w:color="auto"/>
          </w:divBdr>
        </w:div>
        <w:div w:id="1467964748">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pringer.com/chapter/10.1007/978-3-031-18923-4_6/figures/4" TargetMode="External"/><Relationship Id="rId18" Type="http://schemas.openxmlformats.org/officeDocument/2006/relationships/hyperlink" Target="https://soilhealthbenchmarks.eu/glossary/" TargetMode="External"/><Relationship Id="rId26" Type="http://schemas.openxmlformats.org/officeDocument/2006/relationships/hyperlink" Target="https://www.landis.org.uk/downloads/downloads/Glossary.pdf" TargetMode="External"/><Relationship Id="rId39" Type="http://schemas.openxmlformats.org/officeDocument/2006/relationships/hyperlink" Target="https://www.uu.nl/en/research/transdisciplinary-field-guide/get-started/what-is-transdisciplinary-research" TargetMode="External"/><Relationship Id="rId21" Type="http://schemas.openxmlformats.org/officeDocument/2006/relationships/hyperlink" Target="https://link.springer.com/chapter/10.1007/978-3-031-18923-4_6" TargetMode="External"/><Relationship Id="rId34" Type="http://schemas.openxmlformats.org/officeDocument/2006/relationships/hyperlink" Target="https://www.sbcguidance.org/understand/social-and-behaviour-change-communication" TargetMode="External"/><Relationship Id="rId42" Type="http://schemas.openxmlformats.org/officeDocument/2006/relationships/hyperlink" Target="https://doi.org/10.1007/978-3-030-62397-5_26" TargetMode="External"/><Relationship Id="rId47" Type="http://schemas.openxmlformats.org/officeDocument/2006/relationships/hyperlink" Target="https://doi.org/10.2489/jswc.2020.0620A" TargetMode="External"/><Relationship Id="rId50" Type="http://schemas.openxmlformats.org/officeDocument/2006/relationships/hyperlink" Target="https://research-and-innovation.ec.europa.eu/knowledge-publications-tools-and-data/publications/all-publications/implementation-plans-eu-missions_e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10.3390/agronomy12112595" TargetMode="External"/><Relationship Id="rId29" Type="http://schemas.openxmlformats.org/officeDocument/2006/relationships/hyperlink" Target="https://doi.org/10.4236/AJPS.2018.99140" TargetMode="External"/><Relationship Id="rId11" Type="http://schemas.openxmlformats.org/officeDocument/2006/relationships/image" Target="media/image1.png"/><Relationship Id="rId24" Type="http://schemas.openxmlformats.org/officeDocument/2006/relationships/hyperlink" Target="https://www.eurovia.org/wp-content/uploads/2016/11/defining-land-grabs.pdf" TargetMode="External"/><Relationship Id="rId32" Type="http://schemas.openxmlformats.org/officeDocument/2006/relationships/hyperlink" Target="https://doi.org/10.3389/fenvs.2022.1028839" TargetMode="External"/><Relationship Id="rId37" Type="http://schemas.openxmlformats.org/officeDocument/2006/relationships/hyperlink" Target="https://www.oed.com/search/dictionary" TargetMode="External"/><Relationship Id="rId40" Type="http://schemas.openxmlformats.org/officeDocument/2006/relationships/hyperlink" Target="https://web.mit.edu/jrankin/www/interdisciplinary/interdisc_Newell.pdf" TargetMode="External"/><Relationship Id="rId45" Type="http://schemas.openxmlformats.org/officeDocument/2006/relationships/hyperlink" Target="https://doi.org/10.4060/cb4476en"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landmarkproject.eu/landmark-glossary/" TargetMode="External"/><Relationship Id="rId31" Type="http://schemas.openxmlformats.org/officeDocument/2006/relationships/hyperlink" Target="https://doi.org/10.1108/jefas-12-2021-0267" TargetMode="External"/><Relationship Id="rId44" Type="http://schemas.openxmlformats.org/officeDocument/2006/relationships/hyperlink" Target="https://doi.org/10.1371/journal.pone.0152637"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landmarkproject.eu/soil-functions-concept/" TargetMode="External"/><Relationship Id="rId22" Type="http://schemas.openxmlformats.org/officeDocument/2006/relationships/hyperlink" Target="https://doi.org/10.3390/agronomy12112595" TargetMode="External"/><Relationship Id="rId27" Type="http://schemas.openxmlformats.org/officeDocument/2006/relationships/hyperlink" Target="https://doi.org/10.1038/s43247-024-01405-8" TargetMode="External"/><Relationship Id="rId30" Type="http://schemas.openxmlformats.org/officeDocument/2006/relationships/hyperlink" Target="https://doi.org/10.1111/jvs.12727" TargetMode="External"/><Relationship Id="rId35" Type="http://schemas.openxmlformats.org/officeDocument/2006/relationships/hyperlink" Target="https://techresearchonline.com/blog/10-new-ways-to-communicate-digitally-age-of-digital-technology/" TargetMode="External"/><Relationship Id="rId43" Type="http://schemas.openxmlformats.org/officeDocument/2006/relationships/hyperlink" Target="https://doi.org/10.1007/s11625-020-00794-x" TargetMode="External"/><Relationship Id="rId48" Type="http://schemas.openxmlformats.org/officeDocument/2006/relationships/hyperlink" Target="https://doi.org/10.1016/j.anifeedsci.2011.04.036" TargetMode="Externa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doi.org/10.1007/978-3-031-18923-4_6" TargetMode="External"/><Relationship Id="rId17" Type="http://schemas.openxmlformats.org/officeDocument/2006/relationships/hyperlink" Target="https://nbsoil.eu/glossary/" TargetMode="External"/><Relationship Id="rId25" Type="http://schemas.openxmlformats.org/officeDocument/2006/relationships/hyperlink" Target="https://doi.org/10.1080/10643389.2023.2228651" TargetMode="External"/><Relationship Id="rId33" Type="http://schemas.openxmlformats.org/officeDocument/2006/relationships/hyperlink" Target="https://doi.org/10.1080/03004279.2023.2186972" TargetMode="External"/><Relationship Id="rId38" Type="http://schemas.openxmlformats.org/officeDocument/2006/relationships/hyperlink" Target="https://www.who.int/teams/noncommunicable-diseases/sensory-functions-disability-and-rehabilitation/world-report-on-disability" TargetMode="External"/><Relationship Id="rId46" Type="http://schemas.openxmlformats.org/officeDocument/2006/relationships/hyperlink" Target="https://doi.org/10.1126/science.1097396" TargetMode="External"/><Relationship Id="rId20" Type="http://schemas.openxmlformats.org/officeDocument/2006/relationships/hyperlink" Target="https://doi.org/10.1007/978-3-031-18923-4_6" TargetMode="External"/><Relationship Id="rId41" Type="http://schemas.openxmlformats.org/officeDocument/2006/relationships/hyperlink" Target="http://dx.doi.org/10.1201/b1250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ohioline.osu.edu/factsheet/SAG-19" TargetMode="External"/><Relationship Id="rId28" Type="http://schemas.openxmlformats.org/officeDocument/2006/relationships/hyperlink" Target="https://doi.org/10.3390/agriculture10090394" TargetMode="External"/><Relationship Id="rId36" Type="http://schemas.openxmlformats.org/officeDocument/2006/relationships/hyperlink" Target="https://doi.org/10.26522/ssj.v15i2.2657" TargetMode="External"/><Relationship Id="rId49" Type="http://schemas.openxmlformats.org/officeDocument/2006/relationships/hyperlink" Target="https://www.millenniumassessment.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f3e1975b18eaa64cfb6f870ac5455ac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73c01ceadbeeca6b46aa7addb9956798"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5CC1C9-4CA6-46E3-989B-F25CE603C456}">
  <ds:schemaRefs>
    <ds:schemaRef ds:uri="http://schemas.microsoft.com/office/2006/metadata/properties"/>
    <ds:schemaRef ds:uri="http://schemas.microsoft.com/office/infopath/2007/PartnerControls"/>
    <ds:schemaRef ds:uri="49b9c972-6c78-424e-8500-a22f256d764b"/>
    <ds:schemaRef ds:uri="664392dc-dad9-45cc-9b02-6ff2a8be1f79"/>
  </ds:schemaRefs>
</ds:datastoreItem>
</file>

<file path=customXml/itemProps2.xml><?xml version="1.0" encoding="utf-8"?>
<ds:datastoreItem xmlns:ds="http://schemas.openxmlformats.org/officeDocument/2006/customXml" ds:itemID="{AAA9DB6B-A7D7-439E-82D7-3DE6D9ADCAD4}"/>
</file>

<file path=customXml/itemProps3.xml><?xml version="1.0" encoding="utf-8"?>
<ds:datastoreItem xmlns:ds="http://schemas.openxmlformats.org/officeDocument/2006/customXml" ds:itemID="{1BF969EB-EA69-467B-AFCE-2832D0B14543}">
  <ds:schemaRefs>
    <ds:schemaRef ds:uri="http://schemas.microsoft.com/sharepoint/v3/contenttype/forms"/>
  </ds:schemaRefs>
</ds:datastoreItem>
</file>

<file path=customXml/itemProps4.xml><?xml version="1.0" encoding="utf-8"?>
<ds:datastoreItem xmlns:ds="http://schemas.openxmlformats.org/officeDocument/2006/customXml" ds:itemID="{98C78329-37B3-4325-A18E-19616F793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8600</Words>
  <Characters>49024</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Santolalla</dc:creator>
  <cp:lastModifiedBy>Ioanna Mantopoulou</cp:lastModifiedBy>
  <cp:revision>5</cp:revision>
  <dcterms:created xsi:type="dcterms:W3CDTF">2025-03-24T12:06:00Z</dcterms:created>
  <dcterms:modified xsi:type="dcterms:W3CDTF">2025-03-31T12:16:00Z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y fmtid="{D5CDD505-2E9C-101B-9397-08002B2CF9AE}" pid="3" name="MediaServiceImageTags">
    <vt:lpwstr/>
  </property>
</Properties>
</file>